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B30" w:rsidRPr="00D13C94" w:rsidRDefault="00A95B30" w:rsidP="00D13C94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:rsidR="003815D0" w:rsidRDefault="003815D0" w:rsidP="00EE666E">
      <w:pPr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:rsidR="00A95B30" w:rsidRPr="00D13C94" w:rsidRDefault="00A95B30" w:rsidP="001F7A7E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13C94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Département </w:t>
      </w:r>
      <w:r w:rsidR="001F7A7E">
        <w:rPr>
          <w:rFonts w:ascii="Arial" w:hAnsi="Arial" w:cs="Arial"/>
          <w:b/>
          <w:bCs/>
          <w:color w:val="000000" w:themeColor="text1"/>
          <w:sz w:val="32"/>
          <w:szCs w:val="32"/>
        </w:rPr>
        <w:t>M</w:t>
      </w:r>
      <w:r w:rsidR="002472F7">
        <w:rPr>
          <w:rFonts w:ascii="Arial" w:hAnsi="Arial" w:cs="Arial"/>
          <w:b/>
          <w:bCs/>
          <w:color w:val="000000" w:themeColor="text1"/>
          <w:sz w:val="32"/>
          <w:szCs w:val="32"/>
        </w:rPr>
        <w:t>.</w:t>
      </w:r>
      <w:r w:rsidR="001F7A7E">
        <w:rPr>
          <w:rFonts w:ascii="Arial" w:hAnsi="Arial" w:cs="Arial"/>
          <w:b/>
          <w:bCs/>
          <w:color w:val="000000" w:themeColor="text1"/>
          <w:sz w:val="32"/>
          <w:szCs w:val="32"/>
        </w:rPr>
        <w:t>M</w:t>
      </w:r>
      <w:r w:rsidR="002472F7">
        <w:rPr>
          <w:rFonts w:ascii="Arial" w:hAnsi="Arial" w:cs="Arial"/>
          <w:b/>
          <w:bCs/>
          <w:color w:val="000000" w:themeColor="text1"/>
          <w:sz w:val="32"/>
          <w:szCs w:val="32"/>
        </w:rPr>
        <w:t>.</w:t>
      </w:r>
      <w:r w:rsidR="001F7A7E">
        <w:rPr>
          <w:rFonts w:ascii="Arial" w:hAnsi="Arial" w:cs="Arial"/>
          <w:b/>
          <w:bCs/>
          <w:color w:val="000000" w:themeColor="text1"/>
          <w:sz w:val="32"/>
          <w:szCs w:val="32"/>
        </w:rPr>
        <w:t>M</w:t>
      </w:r>
    </w:p>
    <w:p w:rsidR="00D55A1E" w:rsidRDefault="00D55A1E" w:rsidP="00D55A1E">
      <w:pPr>
        <w:rPr>
          <w:rFonts w:ascii="Arial" w:hAnsi="Arial" w:cs="Arial"/>
          <w:bCs/>
          <w:color w:val="000000" w:themeColor="text1"/>
        </w:rPr>
      </w:pPr>
    </w:p>
    <w:p w:rsidR="00557D9F" w:rsidRDefault="00557D9F" w:rsidP="00D13C94">
      <w:pPr>
        <w:rPr>
          <w:rFonts w:ascii="Arial" w:hAnsi="Arial" w:cs="Arial"/>
          <w:bCs/>
          <w:color w:val="000000" w:themeColor="text1"/>
        </w:rPr>
      </w:pPr>
    </w:p>
    <w:p w:rsidR="00760E9C" w:rsidRDefault="00760E9C" w:rsidP="00D13C94">
      <w:pPr>
        <w:rPr>
          <w:rFonts w:ascii="Arial" w:hAnsi="Arial" w:cs="Arial"/>
          <w:bCs/>
          <w:color w:val="000000" w:themeColor="text1"/>
        </w:rPr>
      </w:pPr>
    </w:p>
    <w:p w:rsidR="00760E9C" w:rsidRPr="00D13C94" w:rsidRDefault="00760E9C" w:rsidP="00E42BA0">
      <w:pPr>
        <w:rPr>
          <w:rFonts w:ascii="Arial" w:hAnsi="Arial" w:cs="Arial"/>
          <w:bCs/>
          <w:color w:val="000000" w:themeColor="text1"/>
        </w:rPr>
      </w:pPr>
      <w:r w:rsidRPr="00D13C94">
        <w:rPr>
          <w:rFonts w:ascii="Arial" w:hAnsi="Arial" w:cs="Arial"/>
          <w:bCs/>
          <w:color w:val="000000" w:themeColor="text1"/>
        </w:rPr>
        <w:t xml:space="preserve">CTN </w:t>
      </w:r>
      <w:r w:rsidR="002456DF">
        <w:rPr>
          <w:rFonts w:ascii="Arial" w:hAnsi="Arial" w:cs="Arial"/>
          <w:bCs/>
          <w:color w:val="000000" w:themeColor="text1"/>
        </w:rPr>
        <w:t>26</w:t>
      </w:r>
      <w:r>
        <w:rPr>
          <w:rFonts w:ascii="Arial" w:hAnsi="Arial" w:cs="Arial"/>
          <w:bCs/>
          <w:color w:val="000000" w:themeColor="text1"/>
        </w:rPr>
        <w:t> </w:t>
      </w:r>
      <w:r w:rsidR="002456DF">
        <w:rPr>
          <w:rFonts w:ascii="Arial" w:hAnsi="Arial" w:cs="Arial"/>
          <w:bCs/>
          <w:color w:val="000000" w:themeColor="text1"/>
        </w:rPr>
        <w:t>:</w:t>
      </w:r>
      <w:r w:rsidR="002456DF" w:rsidRPr="002456DF">
        <w:rPr>
          <w:rFonts w:ascii="Arial" w:hAnsi="Arial" w:cs="Arial"/>
          <w:b/>
          <w:lang w:bidi="ar-DZ"/>
        </w:rPr>
        <w:t xml:space="preserve"> </w:t>
      </w:r>
      <w:r w:rsidR="002456DF" w:rsidRPr="0006110C">
        <w:rPr>
          <w:rFonts w:ascii="Arial" w:hAnsi="Arial" w:cs="Arial"/>
          <w:b/>
          <w:lang w:bidi="ar-DZ"/>
        </w:rPr>
        <w:t>Métallurgie non ferreuse </w:t>
      </w:r>
      <w:r w:rsidR="002456DF">
        <w:rPr>
          <w:rFonts w:ascii="Arial" w:hAnsi="Arial" w:cs="Arial"/>
          <w:b/>
          <w:bCs/>
          <w:color w:val="000000" w:themeColor="text1"/>
        </w:rPr>
        <w:t xml:space="preserve"> </w:t>
      </w:r>
      <w:r w:rsidR="002456DF" w:rsidRPr="000B26F5">
        <w:rPr>
          <w:rFonts w:ascii="Arial" w:hAnsi="Arial" w:cs="Arial"/>
          <w:b/>
          <w:bCs/>
          <w:color w:val="000000" w:themeColor="text1"/>
        </w:rPr>
        <w:t>Début</w:t>
      </w:r>
      <w:r>
        <w:rPr>
          <w:rFonts w:ascii="Arial" w:hAnsi="Arial" w:cs="Arial"/>
          <w:bCs/>
          <w:color w:val="000000" w:themeColor="text1"/>
        </w:rPr>
        <w:t xml:space="preserve"> :     </w:t>
      </w:r>
      <w:r w:rsidR="002456DF">
        <w:rPr>
          <w:rFonts w:ascii="Arial" w:hAnsi="Arial" w:cs="Arial"/>
          <w:bCs/>
          <w:color w:val="000000" w:themeColor="text1"/>
        </w:rPr>
        <w:t>30</w:t>
      </w:r>
      <w:r w:rsidR="00A344D5">
        <w:rPr>
          <w:rFonts w:ascii="Arial" w:hAnsi="Arial" w:cs="Arial"/>
          <w:bCs/>
          <w:color w:val="000000" w:themeColor="text1"/>
        </w:rPr>
        <w:t xml:space="preserve">/09/2026 </w:t>
      </w:r>
      <w:r w:rsidR="00206F7A">
        <w:rPr>
          <w:rFonts w:ascii="Arial" w:hAnsi="Arial" w:cs="Arial"/>
          <w:bCs/>
          <w:color w:val="000000" w:themeColor="text1"/>
        </w:rPr>
        <w:t>F</w:t>
      </w:r>
      <w:r>
        <w:rPr>
          <w:rFonts w:ascii="Arial" w:hAnsi="Arial" w:cs="Arial"/>
          <w:bCs/>
          <w:color w:val="000000" w:themeColor="text1"/>
        </w:rPr>
        <w:t xml:space="preserve">in :     </w:t>
      </w:r>
      <w:r w:rsidR="002456DF">
        <w:rPr>
          <w:rFonts w:ascii="Arial" w:hAnsi="Arial" w:cs="Arial"/>
          <w:bCs/>
          <w:color w:val="000000" w:themeColor="text1"/>
        </w:rPr>
        <w:t>30</w:t>
      </w:r>
      <w:r w:rsidR="00A344D5">
        <w:rPr>
          <w:rFonts w:ascii="Arial" w:hAnsi="Arial" w:cs="Arial"/>
          <w:bCs/>
          <w:color w:val="000000" w:themeColor="text1"/>
        </w:rPr>
        <w:t>/11/2026</w:t>
      </w:r>
    </w:p>
    <w:p w:rsidR="00760E9C" w:rsidRPr="00D13C94" w:rsidRDefault="00760E9C" w:rsidP="00760E9C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tbl>
      <w:tblPr>
        <w:tblStyle w:val="Grilledutableau"/>
        <w:tblW w:w="0" w:type="auto"/>
        <w:tblLayout w:type="fixed"/>
        <w:tblLook w:val="04A0"/>
      </w:tblPr>
      <w:tblGrid>
        <w:gridCol w:w="1809"/>
        <w:gridCol w:w="1843"/>
        <w:gridCol w:w="992"/>
        <w:gridCol w:w="1560"/>
        <w:gridCol w:w="3969"/>
      </w:tblGrid>
      <w:tr w:rsidR="00760E9C" w:rsidRPr="00D13C94" w:rsidTr="00296E9A">
        <w:trPr>
          <w:trHeight w:val="570"/>
        </w:trPr>
        <w:tc>
          <w:tcPr>
            <w:tcW w:w="1809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Référence</w:t>
            </w:r>
          </w:p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Du PN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Source</w:t>
            </w:r>
          </w:p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Documentaire</w:t>
            </w:r>
          </w:p>
        </w:tc>
        <w:tc>
          <w:tcPr>
            <w:tcW w:w="992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Parenté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ICS</w:t>
            </w:r>
          </w:p>
        </w:tc>
        <w:tc>
          <w:tcPr>
            <w:tcW w:w="3969" w:type="dxa"/>
            <w:shd w:val="clear" w:color="auto" w:fill="DDD9C3" w:themeFill="background2" w:themeFillShade="E6"/>
            <w:vAlign w:val="center"/>
          </w:tcPr>
          <w:p w:rsidR="00760E9C" w:rsidRPr="00E3202E" w:rsidRDefault="00760E9C" w:rsidP="00852575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3202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Intitulé du PN</w:t>
            </w:r>
          </w:p>
        </w:tc>
      </w:tr>
      <w:tr w:rsidR="00296E9A" w:rsidRPr="00D13C94" w:rsidTr="00296E9A">
        <w:trPr>
          <w:trHeight w:val="570"/>
        </w:trPr>
        <w:tc>
          <w:tcPr>
            <w:tcW w:w="1809" w:type="dxa"/>
            <w:vAlign w:val="center"/>
          </w:tcPr>
          <w:p w:rsidR="00296E9A" w:rsidRPr="00CF2BA4" w:rsidRDefault="00296E9A" w:rsidP="00335F3A">
            <w:pPr>
              <w:jc w:val="center"/>
            </w:pPr>
            <w:bookmarkStart w:id="0" w:name="_GoBack" w:colFirst="3" w:colLast="3"/>
            <w:r w:rsidRPr="00CF2BA4">
              <w:t>NA 8978</w:t>
            </w:r>
          </w:p>
        </w:tc>
        <w:tc>
          <w:tcPr>
            <w:tcW w:w="1843" w:type="dxa"/>
            <w:vAlign w:val="center"/>
          </w:tcPr>
          <w:p w:rsidR="00296E9A" w:rsidRPr="00CF2BA4" w:rsidRDefault="00296E9A" w:rsidP="00335F3A">
            <w:pPr>
              <w:jc w:val="center"/>
              <w:rPr>
                <w:sz w:val="22"/>
                <w:szCs w:val="22"/>
              </w:rPr>
            </w:pPr>
            <w:r w:rsidRPr="00CF2BA4">
              <w:rPr>
                <w:sz w:val="22"/>
                <w:szCs w:val="22"/>
              </w:rPr>
              <w:t>EN 12165 :2024</w:t>
            </w:r>
          </w:p>
        </w:tc>
        <w:tc>
          <w:tcPr>
            <w:tcW w:w="992" w:type="dxa"/>
            <w:vAlign w:val="center"/>
          </w:tcPr>
          <w:p w:rsidR="00296E9A" w:rsidRPr="00CF2BA4" w:rsidRDefault="00296E9A" w:rsidP="00335F3A">
            <w:pPr>
              <w:jc w:val="center"/>
              <w:rPr>
                <w:bCs/>
              </w:rPr>
            </w:pPr>
            <w:r w:rsidRPr="00CF2BA4">
              <w:rPr>
                <w:bCs/>
              </w:rPr>
              <w:t>IDT</w:t>
            </w:r>
          </w:p>
        </w:tc>
        <w:tc>
          <w:tcPr>
            <w:tcW w:w="1560" w:type="dxa"/>
            <w:vAlign w:val="center"/>
          </w:tcPr>
          <w:p w:rsidR="00296E9A" w:rsidRPr="00CF2BA4" w:rsidRDefault="00296E9A" w:rsidP="00335F3A">
            <w:pPr>
              <w:jc w:val="center"/>
              <w:rPr>
                <w:b/>
              </w:rPr>
            </w:pPr>
            <w:r w:rsidRPr="00CF2BA4">
              <w:rPr>
                <w:rStyle w:val="lev"/>
                <w:b w:val="0"/>
                <w:color w:val="262E3E"/>
                <w:sz w:val="27"/>
                <w:szCs w:val="27"/>
                <w:shd w:val="clear" w:color="auto" w:fill="F9F9F9"/>
              </w:rPr>
              <w:t>77.150.30</w:t>
            </w:r>
          </w:p>
        </w:tc>
        <w:tc>
          <w:tcPr>
            <w:tcW w:w="3969" w:type="dxa"/>
            <w:vAlign w:val="center"/>
          </w:tcPr>
          <w:p w:rsidR="00296E9A" w:rsidRPr="00CF2BA4" w:rsidRDefault="00296E9A" w:rsidP="00335F3A">
            <w:r w:rsidRPr="00CF2BA4">
              <w:rPr>
                <w:sz w:val="22"/>
                <w:szCs w:val="22"/>
              </w:rPr>
              <w:t>Cuivre et alliages de cuivre - Barres corroyées et brutes pour matriçage</w:t>
            </w:r>
          </w:p>
        </w:tc>
      </w:tr>
      <w:tr w:rsidR="00296E9A" w:rsidRPr="00D13C94" w:rsidTr="00296E9A">
        <w:trPr>
          <w:trHeight w:val="570"/>
        </w:trPr>
        <w:tc>
          <w:tcPr>
            <w:tcW w:w="1809" w:type="dxa"/>
            <w:vAlign w:val="center"/>
          </w:tcPr>
          <w:p w:rsidR="00296E9A" w:rsidRPr="00CF2BA4" w:rsidRDefault="00296E9A" w:rsidP="00335F3A">
            <w:pPr>
              <w:jc w:val="center"/>
            </w:pPr>
            <w:r w:rsidRPr="00CF2BA4">
              <w:t>NA 8977</w:t>
            </w:r>
          </w:p>
        </w:tc>
        <w:tc>
          <w:tcPr>
            <w:tcW w:w="1843" w:type="dxa"/>
            <w:vAlign w:val="center"/>
          </w:tcPr>
          <w:p w:rsidR="00296E9A" w:rsidRPr="00CF2BA4" w:rsidRDefault="00296E9A" w:rsidP="00335F3A">
            <w:pPr>
              <w:jc w:val="center"/>
              <w:rPr>
                <w:sz w:val="22"/>
                <w:szCs w:val="22"/>
              </w:rPr>
            </w:pPr>
            <w:r w:rsidRPr="00CF2BA4">
              <w:rPr>
                <w:sz w:val="22"/>
                <w:szCs w:val="22"/>
              </w:rPr>
              <w:t>EN 12164 :2024</w:t>
            </w:r>
          </w:p>
        </w:tc>
        <w:tc>
          <w:tcPr>
            <w:tcW w:w="992" w:type="dxa"/>
            <w:vAlign w:val="center"/>
          </w:tcPr>
          <w:p w:rsidR="00296E9A" w:rsidRPr="00CF2BA4" w:rsidRDefault="00296E9A" w:rsidP="00335F3A">
            <w:pPr>
              <w:jc w:val="center"/>
              <w:rPr>
                <w:bCs/>
              </w:rPr>
            </w:pPr>
            <w:r w:rsidRPr="00CF2BA4">
              <w:rPr>
                <w:bCs/>
              </w:rPr>
              <w:t>IDT</w:t>
            </w:r>
          </w:p>
        </w:tc>
        <w:tc>
          <w:tcPr>
            <w:tcW w:w="1560" w:type="dxa"/>
            <w:vAlign w:val="center"/>
          </w:tcPr>
          <w:p w:rsidR="00296E9A" w:rsidRPr="00CF2BA4" w:rsidRDefault="00296E9A" w:rsidP="00335F3A">
            <w:pPr>
              <w:rPr>
                <w:b/>
              </w:rPr>
            </w:pPr>
            <w:r w:rsidRPr="00CF2BA4">
              <w:rPr>
                <w:rStyle w:val="lev"/>
                <w:b w:val="0"/>
                <w:color w:val="262E3E"/>
                <w:sz w:val="27"/>
                <w:szCs w:val="27"/>
                <w:shd w:val="clear" w:color="auto" w:fill="F9F9F9"/>
              </w:rPr>
              <w:t xml:space="preserve"> 77.150.30</w:t>
            </w:r>
          </w:p>
        </w:tc>
        <w:tc>
          <w:tcPr>
            <w:tcW w:w="3969" w:type="dxa"/>
            <w:vAlign w:val="center"/>
          </w:tcPr>
          <w:p w:rsidR="00296E9A" w:rsidRPr="00CF2BA4" w:rsidRDefault="00296E9A" w:rsidP="00335F3A">
            <w:r w:rsidRPr="00CF2BA4">
              <w:rPr>
                <w:sz w:val="22"/>
                <w:szCs w:val="22"/>
              </w:rPr>
              <w:t>Cuivre et alliages de cuivre - Barres pour décolletage</w:t>
            </w:r>
          </w:p>
        </w:tc>
      </w:tr>
      <w:tr w:rsidR="00296E9A" w:rsidRPr="00D13C94" w:rsidTr="00296E9A">
        <w:trPr>
          <w:trHeight w:val="570"/>
        </w:trPr>
        <w:tc>
          <w:tcPr>
            <w:tcW w:w="1809" w:type="dxa"/>
            <w:vAlign w:val="center"/>
          </w:tcPr>
          <w:p w:rsidR="00296E9A" w:rsidRPr="00CF2BA4" w:rsidRDefault="00296E9A" w:rsidP="00335F3A">
            <w:pPr>
              <w:jc w:val="center"/>
            </w:pPr>
            <w:r w:rsidRPr="00CF2BA4">
              <w:t>NA 8956</w:t>
            </w:r>
          </w:p>
        </w:tc>
        <w:tc>
          <w:tcPr>
            <w:tcW w:w="1843" w:type="dxa"/>
            <w:vAlign w:val="center"/>
          </w:tcPr>
          <w:p w:rsidR="00296E9A" w:rsidRPr="00CF2BA4" w:rsidRDefault="00296E9A" w:rsidP="00335F3A">
            <w:pPr>
              <w:jc w:val="center"/>
              <w:rPr>
                <w:sz w:val="22"/>
                <w:szCs w:val="22"/>
              </w:rPr>
            </w:pPr>
            <w:r w:rsidRPr="00CF2BA4">
              <w:rPr>
                <w:sz w:val="22"/>
                <w:szCs w:val="22"/>
              </w:rPr>
              <w:t>EN 1982 :2024</w:t>
            </w:r>
          </w:p>
        </w:tc>
        <w:tc>
          <w:tcPr>
            <w:tcW w:w="992" w:type="dxa"/>
            <w:vAlign w:val="center"/>
          </w:tcPr>
          <w:p w:rsidR="00296E9A" w:rsidRPr="00CF2BA4" w:rsidRDefault="00296E9A" w:rsidP="00335F3A">
            <w:pPr>
              <w:jc w:val="center"/>
              <w:rPr>
                <w:bCs/>
              </w:rPr>
            </w:pPr>
            <w:r w:rsidRPr="00CF2BA4">
              <w:rPr>
                <w:bCs/>
              </w:rPr>
              <w:t>IDT</w:t>
            </w:r>
          </w:p>
        </w:tc>
        <w:tc>
          <w:tcPr>
            <w:tcW w:w="1560" w:type="dxa"/>
            <w:vAlign w:val="center"/>
          </w:tcPr>
          <w:p w:rsidR="00296E9A" w:rsidRPr="00CF2BA4" w:rsidRDefault="00296E9A" w:rsidP="00335F3A">
            <w:pPr>
              <w:jc w:val="center"/>
              <w:rPr>
                <w:b/>
              </w:rPr>
            </w:pPr>
            <w:r w:rsidRPr="00CF2BA4">
              <w:rPr>
                <w:rStyle w:val="lev"/>
                <w:b w:val="0"/>
                <w:color w:val="262E3E"/>
                <w:sz w:val="27"/>
                <w:szCs w:val="27"/>
                <w:shd w:val="clear" w:color="auto" w:fill="F9F9F9"/>
              </w:rPr>
              <w:t>77.150.30</w:t>
            </w:r>
          </w:p>
        </w:tc>
        <w:tc>
          <w:tcPr>
            <w:tcW w:w="3969" w:type="dxa"/>
            <w:vAlign w:val="center"/>
          </w:tcPr>
          <w:p w:rsidR="00296E9A" w:rsidRPr="00CF2BA4" w:rsidRDefault="00296E9A" w:rsidP="00335F3A">
            <w:r w:rsidRPr="00CF2BA4">
              <w:rPr>
                <w:sz w:val="22"/>
                <w:szCs w:val="22"/>
              </w:rPr>
              <w:t>Cuivre et alliages de cuivre - Lingots et pièces moulées</w:t>
            </w:r>
          </w:p>
        </w:tc>
      </w:tr>
      <w:tr w:rsidR="00296E9A" w:rsidRPr="00D13C94" w:rsidTr="00296E9A">
        <w:trPr>
          <w:trHeight w:val="570"/>
        </w:trPr>
        <w:tc>
          <w:tcPr>
            <w:tcW w:w="1809" w:type="dxa"/>
            <w:vAlign w:val="center"/>
          </w:tcPr>
          <w:p w:rsidR="00296E9A" w:rsidRPr="00CF2BA4" w:rsidRDefault="00296E9A" w:rsidP="00335F3A">
            <w:pPr>
              <w:jc w:val="center"/>
            </w:pPr>
            <w:r w:rsidRPr="00CF2BA4">
              <w:t>NA ISO 7266</w:t>
            </w:r>
          </w:p>
        </w:tc>
        <w:tc>
          <w:tcPr>
            <w:tcW w:w="1843" w:type="dxa"/>
            <w:vAlign w:val="center"/>
          </w:tcPr>
          <w:p w:rsidR="00296E9A" w:rsidRPr="00CF2BA4" w:rsidRDefault="00296E9A" w:rsidP="00296E9A">
            <w:pPr>
              <w:rPr>
                <w:sz w:val="22"/>
                <w:szCs w:val="22"/>
              </w:rPr>
            </w:pPr>
            <w:r w:rsidRPr="00CF2BA4">
              <w:rPr>
                <w:sz w:val="22"/>
                <w:szCs w:val="22"/>
              </w:rPr>
              <w:t>ISO 7266:1984</w:t>
            </w:r>
          </w:p>
        </w:tc>
        <w:tc>
          <w:tcPr>
            <w:tcW w:w="992" w:type="dxa"/>
            <w:vAlign w:val="center"/>
          </w:tcPr>
          <w:p w:rsidR="00296E9A" w:rsidRPr="00CF2BA4" w:rsidRDefault="00296E9A" w:rsidP="00335F3A">
            <w:pPr>
              <w:jc w:val="center"/>
              <w:rPr>
                <w:bCs/>
              </w:rPr>
            </w:pPr>
            <w:r w:rsidRPr="00CF2BA4">
              <w:rPr>
                <w:bCs/>
              </w:rPr>
              <w:t>IDT</w:t>
            </w:r>
          </w:p>
        </w:tc>
        <w:tc>
          <w:tcPr>
            <w:tcW w:w="1560" w:type="dxa"/>
            <w:vAlign w:val="center"/>
          </w:tcPr>
          <w:p w:rsidR="00296E9A" w:rsidRPr="00CF2BA4" w:rsidRDefault="00296E9A" w:rsidP="00335F3A">
            <w:pPr>
              <w:jc w:val="center"/>
              <w:rPr>
                <w:rStyle w:val="lev"/>
                <w:b w:val="0"/>
                <w:color w:val="262E3E"/>
                <w:sz w:val="27"/>
                <w:szCs w:val="27"/>
                <w:shd w:val="clear" w:color="auto" w:fill="F9F9F9"/>
              </w:rPr>
            </w:pPr>
            <w:r w:rsidRPr="00CF2BA4">
              <w:rPr>
                <w:rStyle w:val="lev"/>
                <w:b w:val="0"/>
                <w:color w:val="262E3E"/>
                <w:sz w:val="27"/>
                <w:szCs w:val="27"/>
                <w:shd w:val="clear" w:color="auto" w:fill="F9F9F9"/>
              </w:rPr>
              <w:t>77.120.30</w:t>
            </w:r>
          </w:p>
        </w:tc>
        <w:tc>
          <w:tcPr>
            <w:tcW w:w="3969" w:type="dxa"/>
            <w:vAlign w:val="center"/>
          </w:tcPr>
          <w:p w:rsidR="00296E9A" w:rsidRPr="00CF2BA4" w:rsidRDefault="00296E9A" w:rsidP="00335F3A">
            <w:r w:rsidRPr="00CF2BA4">
              <w:rPr>
                <w:sz w:val="22"/>
                <w:szCs w:val="22"/>
              </w:rPr>
              <w:t>Cuivre et alliages de cuivre — Dosage du soufre — Méthode titrimétrique après combustion</w:t>
            </w:r>
          </w:p>
        </w:tc>
      </w:tr>
      <w:tr w:rsidR="00296E9A" w:rsidRPr="00D13C94" w:rsidTr="00296E9A">
        <w:trPr>
          <w:trHeight w:val="972"/>
        </w:trPr>
        <w:tc>
          <w:tcPr>
            <w:tcW w:w="1809" w:type="dxa"/>
            <w:vAlign w:val="center"/>
          </w:tcPr>
          <w:p w:rsidR="00296E9A" w:rsidRPr="00CF2BA4" w:rsidRDefault="00296E9A" w:rsidP="00335F3A">
            <w:pPr>
              <w:jc w:val="center"/>
            </w:pPr>
            <w:r w:rsidRPr="00CF2BA4">
              <w:t>NA ISO 792</w:t>
            </w:r>
          </w:p>
        </w:tc>
        <w:tc>
          <w:tcPr>
            <w:tcW w:w="1843" w:type="dxa"/>
            <w:vAlign w:val="center"/>
          </w:tcPr>
          <w:p w:rsidR="00296E9A" w:rsidRPr="00CF2BA4" w:rsidRDefault="00296E9A" w:rsidP="00296E9A">
            <w:pPr>
              <w:rPr>
                <w:sz w:val="22"/>
                <w:szCs w:val="22"/>
              </w:rPr>
            </w:pPr>
            <w:r w:rsidRPr="00CF2BA4">
              <w:rPr>
                <w:sz w:val="22"/>
                <w:szCs w:val="22"/>
              </w:rPr>
              <w:t>ISO 792:1973</w:t>
            </w:r>
          </w:p>
        </w:tc>
        <w:tc>
          <w:tcPr>
            <w:tcW w:w="992" w:type="dxa"/>
            <w:vAlign w:val="center"/>
          </w:tcPr>
          <w:p w:rsidR="00CF2BA4" w:rsidRDefault="00CF2BA4" w:rsidP="00335F3A">
            <w:pPr>
              <w:jc w:val="center"/>
              <w:rPr>
                <w:bCs/>
              </w:rPr>
            </w:pPr>
          </w:p>
          <w:p w:rsidR="00296E9A" w:rsidRPr="00CF2BA4" w:rsidRDefault="00296E9A" w:rsidP="00335F3A">
            <w:pPr>
              <w:jc w:val="center"/>
              <w:rPr>
                <w:bCs/>
              </w:rPr>
            </w:pPr>
            <w:r w:rsidRPr="00CF2BA4">
              <w:rPr>
                <w:bCs/>
              </w:rPr>
              <w:t>IDT</w:t>
            </w:r>
          </w:p>
          <w:p w:rsidR="00D9328B" w:rsidRPr="00CF2BA4" w:rsidRDefault="00D9328B" w:rsidP="00335F3A">
            <w:pPr>
              <w:jc w:val="center"/>
              <w:rPr>
                <w:bCs/>
              </w:rPr>
            </w:pPr>
          </w:p>
        </w:tc>
        <w:tc>
          <w:tcPr>
            <w:tcW w:w="1560" w:type="dxa"/>
            <w:vAlign w:val="center"/>
          </w:tcPr>
          <w:p w:rsidR="00296E9A" w:rsidRPr="00CF2BA4" w:rsidRDefault="00CF2BA4" w:rsidP="00335F3A">
            <w:pPr>
              <w:jc w:val="center"/>
              <w:rPr>
                <w:rStyle w:val="lev"/>
                <w:b w:val="0"/>
                <w:color w:val="262E3E"/>
                <w:sz w:val="27"/>
                <w:szCs w:val="27"/>
                <w:shd w:val="clear" w:color="auto" w:fill="F9F9F9"/>
              </w:rPr>
            </w:pPr>
            <w:r w:rsidRPr="00CF2BA4">
              <w:rPr>
                <w:rStyle w:val="lev"/>
                <w:b w:val="0"/>
                <w:color w:val="262E3E"/>
                <w:sz w:val="27"/>
                <w:szCs w:val="27"/>
                <w:shd w:val="clear" w:color="auto" w:fill="F9F9F9"/>
              </w:rPr>
              <w:t>77.120.20</w:t>
            </w:r>
          </w:p>
        </w:tc>
        <w:tc>
          <w:tcPr>
            <w:tcW w:w="3969" w:type="dxa"/>
            <w:vAlign w:val="center"/>
          </w:tcPr>
          <w:p w:rsidR="00296E9A" w:rsidRPr="00CF2BA4" w:rsidRDefault="00296E9A" w:rsidP="00335F3A">
            <w:r w:rsidRPr="00CF2BA4">
              <w:t>Magnésium et alliages de magnésium — Dosage du fer — Méthode photométrique à l'orthophénantroline</w:t>
            </w:r>
          </w:p>
        </w:tc>
      </w:tr>
      <w:bookmarkEnd w:id="0"/>
    </w:tbl>
    <w:p w:rsidR="00760E9C" w:rsidRDefault="00760E9C" w:rsidP="00D13C94">
      <w:pPr>
        <w:rPr>
          <w:rFonts w:ascii="Arial" w:hAnsi="Arial" w:cs="Arial"/>
          <w:bCs/>
          <w:color w:val="000000" w:themeColor="text1"/>
        </w:rPr>
      </w:pPr>
    </w:p>
    <w:sectPr w:rsidR="00760E9C" w:rsidSect="00506C1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E6E" w:rsidRDefault="00041E6E" w:rsidP="00A95B30">
      <w:r>
        <w:separator/>
      </w:r>
    </w:p>
  </w:endnote>
  <w:endnote w:type="continuationSeparator" w:id="1">
    <w:p w:rsidR="00041E6E" w:rsidRDefault="00041E6E" w:rsidP="00A95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E6E" w:rsidRDefault="00041E6E" w:rsidP="00A95B30">
      <w:r>
        <w:separator/>
      </w:r>
    </w:p>
  </w:footnote>
  <w:footnote w:type="continuationSeparator" w:id="1">
    <w:p w:rsidR="00041E6E" w:rsidRDefault="00041E6E" w:rsidP="00A95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8A6"/>
    <w:rsid w:val="00016BE9"/>
    <w:rsid w:val="00041E6E"/>
    <w:rsid w:val="000560A8"/>
    <w:rsid w:val="0006166A"/>
    <w:rsid w:val="00086BD7"/>
    <w:rsid w:val="000877BC"/>
    <w:rsid w:val="000B26F5"/>
    <w:rsid w:val="000B4A52"/>
    <w:rsid w:val="000B4AC2"/>
    <w:rsid w:val="000C54D9"/>
    <w:rsid w:val="000D087B"/>
    <w:rsid w:val="000D3DC3"/>
    <w:rsid w:val="0013335B"/>
    <w:rsid w:val="00141302"/>
    <w:rsid w:val="00145697"/>
    <w:rsid w:val="001936C6"/>
    <w:rsid w:val="001A717F"/>
    <w:rsid w:val="001A743D"/>
    <w:rsid w:val="001B2F7A"/>
    <w:rsid w:val="001B3467"/>
    <w:rsid w:val="001B6249"/>
    <w:rsid w:val="001C0938"/>
    <w:rsid w:val="001D0EA0"/>
    <w:rsid w:val="001D2044"/>
    <w:rsid w:val="001F06E2"/>
    <w:rsid w:val="001F7A7E"/>
    <w:rsid w:val="00206F7A"/>
    <w:rsid w:val="0022794F"/>
    <w:rsid w:val="002279B4"/>
    <w:rsid w:val="00236EFE"/>
    <w:rsid w:val="002456DF"/>
    <w:rsid w:val="00245E4F"/>
    <w:rsid w:val="002472F7"/>
    <w:rsid w:val="00272EEF"/>
    <w:rsid w:val="00273DD5"/>
    <w:rsid w:val="00276DC6"/>
    <w:rsid w:val="00296E9A"/>
    <w:rsid w:val="002C57BC"/>
    <w:rsid w:val="002E4F87"/>
    <w:rsid w:val="003011D4"/>
    <w:rsid w:val="00301C0A"/>
    <w:rsid w:val="00303AE7"/>
    <w:rsid w:val="00336708"/>
    <w:rsid w:val="00353C7C"/>
    <w:rsid w:val="003815D0"/>
    <w:rsid w:val="003B4AB5"/>
    <w:rsid w:val="003F3B51"/>
    <w:rsid w:val="004608F2"/>
    <w:rsid w:val="004A1C4E"/>
    <w:rsid w:val="004B0131"/>
    <w:rsid w:val="004B6B1E"/>
    <w:rsid w:val="004E041F"/>
    <w:rsid w:val="00506C12"/>
    <w:rsid w:val="0050757E"/>
    <w:rsid w:val="00557D9F"/>
    <w:rsid w:val="0059728C"/>
    <w:rsid w:val="005D1047"/>
    <w:rsid w:val="005F1E9B"/>
    <w:rsid w:val="006518D6"/>
    <w:rsid w:val="007016EB"/>
    <w:rsid w:val="00734831"/>
    <w:rsid w:val="007510E7"/>
    <w:rsid w:val="00760E9C"/>
    <w:rsid w:val="00793CCF"/>
    <w:rsid w:val="00795A04"/>
    <w:rsid w:val="007B1F19"/>
    <w:rsid w:val="007C0EC7"/>
    <w:rsid w:val="007C307B"/>
    <w:rsid w:val="007C39E8"/>
    <w:rsid w:val="007D09A2"/>
    <w:rsid w:val="007D35A0"/>
    <w:rsid w:val="007D3930"/>
    <w:rsid w:val="007D4829"/>
    <w:rsid w:val="00802344"/>
    <w:rsid w:val="0080316A"/>
    <w:rsid w:val="00822058"/>
    <w:rsid w:val="00833CDC"/>
    <w:rsid w:val="00850EF8"/>
    <w:rsid w:val="00853E08"/>
    <w:rsid w:val="00864B93"/>
    <w:rsid w:val="008764A7"/>
    <w:rsid w:val="00881549"/>
    <w:rsid w:val="00890460"/>
    <w:rsid w:val="008B0022"/>
    <w:rsid w:val="008B0103"/>
    <w:rsid w:val="008B675F"/>
    <w:rsid w:val="008C5A94"/>
    <w:rsid w:val="008C6636"/>
    <w:rsid w:val="008D32CE"/>
    <w:rsid w:val="00913D79"/>
    <w:rsid w:val="00916E32"/>
    <w:rsid w:val="00932185"/>
    <w:rsid w:val="00947F38"/>
    <w:rsid w:val="00951C38"/>
    <w:rsid w:val="00963470"/>
    <w:rsid w:val="00971EA7"/>
    <w:rsid w:val="009832EC"/>
    <w:rsid w:val="00991492"/>
    <w:rsid w:val="009945DB"/>
    <w:rsid w:val="00996340"/>
    <w:rsid w:val="00997740"/>
    <w:rsid w:val="00A15670"/>
    <w:rsid w:val="00A15FEE"/>
    <w:rsid w:val="00A31891"/>
    <w:rsid w:val="00A33028"/>
    <w:rsid w:val="00A344D5"/>
    <w:rsid w:val="00A5318B"/>
    <w:rsid w:val="00A95B30"/>
    <w:rsid w:val="00AA19D4"/>
    <w:rsid w:val="00AF27DC"/>
    <w:rsid w:val="00B019CD"/>
    <w:rsid w:val="00B07FB6"/>
    <w:rsid w:val="00B27E88"/>
    <w:rsid w:val="00B7185E"/>
    <w:rsid w:val="00B955A1"/>
    <w:rsid w:val="00B96324"/>
    <w:rsid w:val="00BC2AE8"/>
    <w:rsid w:val="00C01F7D"/>
    <w:rsid w:val="00C92734"/>
    <w:rsid w:val="00C97F7D"/>
    <w:rsid w:val="00CA37AB"/>
    <w:rsid w:val="00CC477A"/>
    <w:rsid w:val="00CE5F97"/>
    <w:rsid w:val="00CF2BA4"/>
    <w:rsid w:val="00D06149"/>
    <w:rsid w:val="00D112B9"/>
    <w:rsid w:val="00D13C94"/>
    <w:rsid w:val="00D35846"/>
    <w:rsid w:val="00D44D98"/>
    <w:rsid w:val="00D46A00"/>
    <w:rsid w:val="00D55A1E"/>
    <w:rsid w:val="00D76B48"/>
    <w:rsid w:val="00D8113D"/>
    <w:rsid w:val="00D9328B"/>
    <w:rsid w:val="00DD4BA1"/>
    <w:rsid w:val="00DE1991"/>
    <w:rsid w:val="00DE5C70"/>
    <w:rsid w:val="00E3202E"/>
    <w:rsid w:val="00E42BA0"/>
    <w:rsid w:val="00E45F9A"/>
    <w:rsid w:val="00E52360"/>
    <w:rsid w:val="00E57F3C"/>
    <w:rsid w:val="00E83BEB"/>
    <w:rsid w:val="00EB38A1"/>
    <w:rsid w:val="00EB6C11"/>
    <w:rsid w:val="00EE2D39"/>
    <w:rsid w:val="00EE666E"/>
    <w:rsid w:val="00EF0413"/>
    <w:rsid w:val="00EF0EB2"/>
    <w:rsid w:val="00F13508"/>
    <w:rsid w:val="00F14983"/>
    <w:rsid w:val="00F249CC"/>
    <w:rsid w:val="00F36E20"/>
    <w:rsid w:val="00FA08A7"/>
    <w:rsid w:val="00FA121A"/>
    <w:rsid w:val="00FA3234"/>
    <w:rsid w:val="00FA78A6"/>
    <w:rsid w:val="00FB6F4A"/>
    <w:rsid w:val="00FC3568"/>
    <w:rsid w:val="00FC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9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95B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914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B002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A78A6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8B002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5B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5B3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95B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styleId="lev">
    <w:name w:val="Strong"/>
    <w:basedOn w:val="Policepardfaut"/>
    <w:uiPriority w:val="22"/>
    <w:qFormat/>
    <w:rsid w:val="00A95B30"/>
    <w:rPr>
      <w:b/>
      <w:bCs/>
    </w:rPr>
  </w:style>
  <w:style w:type="paragraph" w:styleId="NormalWeb">
    <w:name w:val="Normal (Web)"/>
    <w:basedOn w:val="Normal"/>
    <w:uiPriority w:val="99"/>
    <w:unhideWhenUsed/>
    <w:rsid w:val="00A95B3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Corpsdetexte">
    <w:name w:val="Body Text"/>
    <w:basedOn w:val="Normal"/>
    <w:link w:val="CorpsdetexteCar"/>
    <w:rsid w:val="00A95B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character" w:customStyle="1" w:styleId="CorpsdetexteCar">
    <w:name w:val="Corps de texte Car"/>
    <w:basedOn w:val="Policepardfaut"/>
    <w:link w:val="Corpsdetexte"/>
    <w:rsid w:val="00A95B30"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rsid w:val="009914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307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307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rsid w:val="00A15FEE"/>
  </w:style>
  <w:style w:type="character" w:styleId="Lienhypertexte">
    <w:name w:val="Hyperlink"/>
    <w:basedOn w:val="Policepardfaut"/>
    <w:uiPriority w:val="99"/>
    <w:rsid w:val="00A15FEE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A15FEE"/>
  </w:style>
  <w:style w:type="table" w:styleId="Grilledutableau">
    <w:name w:val="Table Grid"/>
    <w:basedOn w:val="TableauNormal"/>
    <w:uiPriority w:val="59"/>
    <w:rsid w:val="00303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E7F9A-F982-4B18-B443-6746DB838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14</cp:revision>
  <dcterms:created xsi:type="dcterms:W3CDTF">2016-04-27T12:47:00Z</dcterms:created>
  <dcterms:modified xsi:type="dcterms:W3CDTF">2026-09-30T12:48:00Z</dcterms:modified>
</cp:coreProperties>
</file>