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A5DD1">
      <w:pPr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350ABC">
        <w:rPr>
          <w:rFonts w:ascii="Arial" w:hAnsi="Arial" w:cs="Arial"/>
          <w:b/>
          <w:bCs/>
          <w:color w:val="000000" w:themeColor="text1"/>
        </w:rPr>
        <w:t>5</w:t>
      </w:r>
      <w:r w:rsidR="006A263B">
        <w:rPr>
          <w:rFonts w:ascii="Arial" w:hAnsi="Arial" w:cs="Arial"/>
          <w:b/>
          <w:bCs/>
          <w:color w:val="000000" w:themeColor="text1"/>
        </w:rPr>
        <w:t>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6A263B">
        <w:rPr>
          <w:rFonts w:ascii="Arial" w:hAnsi="Arial" w:cs="Arial"/>
          <w:b/>
          <w:bCs/>
          <w:color w:val="000000" w:themeColor="text1"/>
        </w:rPr>
        <w:t>Santé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DA5DD1" w:rsidRPr="004C686E" w:rsidRDefault="00DA5DD1" w:rsidP="00DA5DD1">
      <w:pPr>
        <w:rPr>
          <w:b/>
          <w:bCs/>
          <w:color w:val="000000" w:themeColor="text1"/>
        </w:rPr>
      </w:pPr>
    </w:p>
    <w:p w:rsidR="00DA5DD1" w:rsidRPr="00D13C94" w:rsidRDefault="00DA5DD1" w:rsidP="00DA5DD1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</w:t>
      </w:r>
      <w:r w:rsidR="006A263B">
        <w:rPr>
          <w:rFonts w:ascii="Arial" w:hAnsi="Arial" w:cs="Arial"/>
          <w:bCs/>
          <w:color w:val="000000" w:themeColor="text1"/>
        </w:rPr>
        <w:t>02</w:t>
      </w:r>
      <w:r w:rsidR="00185FFE">
        <w:rPr>
          <w:rFonts w:ascii="Arial" w:hAnsi="Arial" w:cs="Arial"/>
          <w:bCs/>
          <w:color w:val="000000" w:themeColor="text1"/>
        </w:rPr>
        <w:t>/</w:t>
      </w:r>
      <w:r>
        <w:rPr>
          <w:rFonts w:ascii="Arial" w:hAnsi="Arial" w:cs="Arial"/>
          <w:bCs/>
          <w:color w:val="000000" w:themeColor="text1"/>
        </w:rPr>
        <w:t>0</w:t>
      </w:r>
      <w:r w:rsidR="006A263B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 xml:space="preserve">/26                                                                                                                                    fin : </w:t>
      </w:r>
      <w:r w:rsidR="006A263B">
        <w:rPr>
          <w:rFonts w:ascii="Arial" w:hAnsi="Arial" w:cs="Arial"/>
          <w:bCs/>
          <w:color w:val="000000" w:themeColor="text1"/>
        </w:rPr>
        <w:t>01</w:t>
      </w:r>
      <w:r>
        <w:rPr>
          <w:rFonts w:ascii="Arial" w:hAnsi="Arial" w:cs="Arial"/>
          <w:bCs/>
          <w:color w:val="000000" w:themeColor="text1"/>
        </w:rPr>
        <w:t>/0</w:t>
      </w:r>
      <w:r w:rsidR="006A263B">
        <w:rPr>
          <w:rFonts w:ascii="Arial" w:hAnsi="Arial" w:cs="Arial"/>
          <w:bCs/>
          <w:color w:val="000000" w:themeColor="text1"/>
        </w:rPr>
        <w:t>8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DA5DD1" w:rsidRDefault="00DA5DD1" w:rsidP="00DA5DD1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564"/>
        <w:gridCol w:w="850"/>
        <w:gridCol w:w="1134"/>
        <w:gridCol w:w="5103"/>
      </w:tblGrid>
      <w:tr w:rsidR="00DA5DD1" w:rsidRPr="00E3202E" w:rsidTr="00E43DC7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564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:rsidR="00DA5DD1" w:rsidRPr="00E3202E" w:rsidRDefault="00DA5DD1" w:rsidP="00726BA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6A263B" w:rsidRPr="00D13C94" w:rsidTr="00E43DC7">
        <w:trPr>
          <w:trHeight w:val="587"/>
        </w:trPr>
        <w:tc>
          <w:tcPr>
            <w:tcW w:w="1805" w:type="dxa"/>
            <w:vAlign w:val="center"/>
          </w:tcPr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ISO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</w:t>
            </w: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10993-17</w:t>
            </w:r>
          </w:p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A263B" w:rsidRPr="0065362E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A263B" w:rsidRPr="0065362E" w:rsidRDefault="006A263B" w:rsidP="0065362E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6A263B" w:rsidRPr="0065362E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ISO 10993-17</w:t>
            </w:r>
          </w:p>
          <w:p w:rsidR="006A263B" w:rsidRPr="0065362E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2023+ +Amd1/2025</w:t>
            </w:r>
          </w:p>
          <w:p w:rsidR="006A263B" w:rsidRPr="0065362E" w:rsidRDefault="006A263B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11.100.20</w:t>
            </w:r>
          </w:p>
          <w:p w:rsidR="006A263B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A263B" w:rsidRPr="0065362E" w:rsidRDefault="006A263B" w:rsidP="006A263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A263B" w:rsidRPr="0065362E" w:rsidRDefault="006A263B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6A263B" w:rsidRPr="006A263B" w:rsidRDefault="006A263B" w:rsidP="006A263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Emballages des dispositifs médicaux stérilisés au stade terminal </w:t>
            </w:r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—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Papier utilisé dans la fabrication des sacs en papier (spécifiés dans l</w:t>
            </w:r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a NA 17647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) et dans la fabrication de sachets et gaines (spécifiés dans l</w:t>
            </w:r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a NA 17595)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—</w:t>
            </w: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Exigences et méthodes d’essai</w:t>
            </w:r>
          </w:p>
        </w:tc>
      </w:tr>
      <w:tr w:rsidR="0065362E" w:rsidRPr="00D13C94" w:rsidTr="00E43DC7">
        <w:trPr>
          <w:trHeight w:val="620"/>
        </w:trPr>
        <w:tc>
          <w:tcPr>
            <w:tcW w:w="1805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17637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EN 868-3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2025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5362E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5362E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11.080.30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65362E" w:rsidRPr="0065362E" w:rsidRDefault="0065362E" w:rsidP="00C70238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65362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Emballages des dispositifs médicaux stérilisés au stade terminal — Papier utilisé dans la fabrication des sacs en papier (spécifiés dans la NA 17647) et dans la fabrication de sachets et gaines (spécifiés dans la NA 17595) — Exigences et méthodes d’essai</w:t>
            </w:r>
          </w:p>
        </w:tc>
      </w:tr>
      <w:tr w:rsidR="0065362E" w:rsidRPr="00D13C94" w:rsidTr="00E43DC7">
        <w:trPr>
          <w:trHeight w:val="492"/>
        </w:trPr>
        <w:tc>
          <w:tcPr>
            <w:tcW w:w="1805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17647</w:t>
            </w: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EN 868-4</w:t>
            </w: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A263B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2025</w:t>
            </w: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A263B" w:rsidRP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A263B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 IDT</w:t>
            </w:r>
          </w:p>
          <w:p w:rsidR="006A263B" w:rsidRP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A263B" w:rsidRP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A263B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11.080.30</w:t>
            </w: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A263B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65362E" w:rsidRPr="006A263B" w:rsidRDefault="0065362E" w:rsidP="006A263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</w:pP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Emballage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des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dispositifs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médicaux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stérilisés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au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stade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terminal — Sacs en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papier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—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Exigences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et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méthodes</w:t>
            </w:r>
            <w:proofErr w:type="spellEnd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 xml:space="preserve"> </w:t>
            </w:r>
            <w:proofErr w:type="spellStart"/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  <w:t>d'essai</w:t>
            </w:r>
            <w:proofErr w:type="spellEnd"/>
          </w:p>
          <w:p w:rsidR="006A263B" w:rsidRPr="006A263B" w:rsidRDefault="006A263B" w:rsidP="006A263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val="en-US" w:bidi="ar-DZ"/>
              </w:rPr>
            </w:pPr>
          </w:p>
        </w:tc>
      </w:tr>
      <w:tr w:rsidR="0065362E" w:rsidRPr="00D13C94" w:rsidTr="00E43DC7">
        <w:trPr>
          <w:trHeight w:val="492"/>
        </w:trPr>
        <w:tc>
          <w:tcPr>
            <w:tcW w:w="1805" w:type="dxa"/>
            <w:vAlign w:val="center"/>
          </w:tcPr>
          <w:p w:rsid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17617</w:t>
            </w:r>
          </w:p>
          <w:p w:rsidR="006A263B" w:rsidRPr="0065362E" w:rsidRDefault="006A263B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EN 868-6</w:t>
            </w:r>
          </w:p>
          <w:p w:rsid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2025</w:t>
            </w:r>
          </w:p>
          <w:p w:rsidR="006A263B" w:rsidRPr="0065362E" w:rsidRDefault="006A263B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5362E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A263B" w:rsidRDefault="006A263B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65362E" w:rsidRPr="0048498D" w:rsidRDefault="0065362E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11.080.30</w:t>
            </w:r>
          </w:p>
          <w:p w:rsidR="006A263B" w:rsidRDefault="006A263B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A263B" w:rsidRPr="0065362E" w:rsidRDefault="006A263B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65362E" w:rsidRPr="0065362E" w:rsidRDefault="0065362E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65362E" w:rsidRPr="006A263B" w:rsidRDefault="0065362E" w:rsidP="006A263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6A263B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Emballages des dispositifs médicaux stérilisés au stade terminal — Papier pour des procédés de stérilisation à basse température — Exigences et méthodes d’essai</w:t>
            </w:r>
          </w:p>
          <w:p w:rsidR="006A263B" w:rsidRPr="006A263B" w:rsidRDefault="006A263B" w:rsidP="006A263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</w:tr>
      <w:tr w:rsidR="00F13166" w:rsidRPr="00D13C94" w:rsidTr="00E43DC7">
        <w:trPr>
          <w:trHeight w:val="492"/>
        </w:trPr>
        <w:tc>
          <w:tcPr>
            <w:tcW w:w="1805" w:type="dxa"/>
            <w:vAlign w:val="center"/>
          </w:tcPr>
          <w:p w:rsidR="00F13166" w:rsidRDefault="00F13166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PNA 17596</w:t>
            </w:r>
          </w:p>
          <w:p w:rsidR="00F13166" w:rsidRPr="0065362E" w:rsidRDefault="00F13166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F13166" w:rsidRPr="0065362E" w:rsidRDefault="00F13166" w:rsidP="00F13166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EN 868-7</w:t>
            </w:r>
          </w:p>
          <w:p w:rsidR="00F13166" w:rsidRPr="0065362E" w:rsidRDefault="00F13166" w:rsidP="00F13166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2025</w:t>
            </w:r>
          </w:p>
          <w:p w:rsidR="00F13166" w:rsidRPr="0065362E" w:rsidRDefault="00F13166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F13166" w:rsidRDefault="00F13166" w:rsidP="00F1316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F13166" w:rsidRDefault="00F13166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F13166" w:rsidRDefault="00F13166" w:rsidP="00726BAB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13166" w:rsidRPr="0065362E" w:rsidRDefault="00F13166" w:rsidP="00F13166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5362E">
              <w:rPr>
                <w:rFonts w:ascii="Arial" w:hAnsi="Arial" w:cs="Arial"/>
                <w:b w:val="0"/>
                <w:i w:val="0"/>
                <w:sz w:val="16"/>
                <w:szCs w:val="16"/>
              </w:rPr>
              <w:t>11.080.30</w:t>
            </w:r>
          </w:p>
          <w:p w:rsidR="00F13166" w:rsidRDefault="00F13166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F13166" w:rsidRPr="0065362E" w:rsidRDefault="00F13166" w:rsidP="00C70238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F13166" w:rsidRPr="00F13166" w:rsidRDefault="00F13166" w:rsidP="006A263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F131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Emballages des dispositifs médicaux stérilisés au stade terminal — Papier enduit d’adhésif pour des procédés de stérilisation à basse température — Exigences et méthodes d’essai</w:t>
            </w:r>
          </w:p>
        </w:tc>
      </w:tr>
    </w:tbl>
    <w:p w:rsidR="007B56E1" w:rsidRDefault="007B56E1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7B56E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C3" w:rsidRDefault="00FA6EC3" w:rsidP="00A95B30">
      <w:r>
        <w:separator/>
      </w:r>
    </w:p>
  </w:endnote>
  <w:endnote w:type="continuationSeparator" w:id="0">
    <w:p w:rsidR="00FA6EC3" w:rsidRDefault="00FA6EC3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C3" w:rsidRDefault="00FA6EC3" w:rsidP="00A95B30">
      <w:r>
        <w:separator/>
      </w:r>
    </w:p>
  </w:footnote>
  <w:footnote w:type="continuationSeparator" w:id="0">
    <w:p w:rsidR="00FA6EC3" w:rsidRDefault="00FA6EC3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5CCD"/>
    <w:rsid w:val="00156A8C"/>
    <w:rsid w:val="00165959"/>
    <w:rsid w:val="001665E9"/>
    <w:rsid w:val="00166CFF"/>
    <w:rsid w:val="00181EB9"/>
    <w:rsid w:val="00185FFE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D76C7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0ABC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9499E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362E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263B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C4D"/>
    <w:rsid w:val="00756F24"/>
    <w:rsid w:val="00784314"/>
    <w:rsid w:val="00786A65"/>
    <w:rsid w:val="00793CCF"/>
    <w:rsid w:val="00794BB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53974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B073A"/>
    <w:rsid w:val="00AD1321"/>
    <w:rsid w:val="00AD47FC"/>
    <w:rsid w:val="00AD572A"/>
    <w:rsid w:val="00AD73B9"/>
    <w:rsid w:val="00AE387C"/>
    <w:rsid w:val="00AF27DC"/>
    <w:rsid w:val="00AF6B41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BF60BB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E00666"/>
    <w:rsid w:val="00E11EE0"/>
    <w:rsid w:val="00E13039"/>
    <w:rsid w:val="00E3202E"/>
    <w:rsid w:val="00E36484"/>
    <w:rsid w:val="00E43DC7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3166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6EC3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3587-1267-4C2D-A933-CD230BD8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2026-05-07T09:51:00Z</dcterms:created>
  <dcterms:modified xsi:type="dcterms:W3CDTF">2026-06-14T15:00:00Z</dcterms:modified>
</cp:coreProperties>
</file>