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</w:t>
      </w:r>
      <w:r w:rsidR="001D6296">
        <w:rPr>
          <w:rFonts w:ascii="Arial" w:hAnsi="Arial" w:cs="Arial"/>
          <w:b/>
          <w:bCs/>
          <w:color w:val="000000" w:themeColor="text1"/>
          <w:sz w:val="32"/>
          <w:szCs w:val="32"/>
        </w:rPr>
        <w:t>SE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8A311D" w:rsidRDefault="008A311D" w:rsidP="008A311D">
      <w:pPr>
        <w:rPr>
          <w:rFonts w:ascii="Arial" w:hAnsi="Arial" w:cs="Arial"/>
          <w:b/>
          <w:bCs/>
          <w:color w:val="000000" w:themeColor="text1"/>
        </w:rPr>
      </w:pPr>
      <w:r w:rsidRPr="007B56E1">
        <w:rPr>
          <w:rFonts w:ascii="Arial" w:hAnsi="Arial" w:cs="Arial"/>
          <w:b/>
          <w:bCs/>
          <w:color w:val="000000" w:themeColor="text1"/>
        </w:rPr>
        <w:t xml:space="preserve">CTN </w:t>
      </w:r>
      <w:r w:rsidR="00DA5DD1">
        <w:rPr>
          <w:rFonts w:ascii="Arial" w:hAnsi="Arial" w:cs="Arial"/>
          <w:b/>
          <w:bCs/>
          <w:color w:val="000000" w:themeColor="text1"/>
        </w:rPr>
        <w:t>0</w:t>
      </w:r>
      <w:r>
        <w:rPr>
          <w:rFonts w:ascii="Arial" w:hAnsi="Arial" w:cs="Arial"/>
          <w:b/>
          <w:bCs/>
          <w:color w:val="000000" w:themeColor="text1"/>
        </w:rPr>
        <w:t>4</w:t>
      </w:r>
      <w:r w:rsidRPr="007B56E1">
        <w:rPr>
          <w:rFonts w:ascii="Arial" w:hAnsi="Arial" w:cs="Arial"/>
          <w:b/>
          <w:bCs/>
          <w:color w:val="000000" w:themeColor="text1"/>
        </w:rPr>
        <w:t xml:space="preserve"> : </w:t>
      </w:r>
      <w:r w:rsidR="00DA5DD1">
        <w:rPr>
          <w:rFonts w:ascii="Arial" w:hAnsi="Arial" w:cs="Arial"/>
          <w:b/>
          <w:bCs/>
          <w:color w:val="000000" w:themeColor="text1"/>
        </w:rPr>
        <w:t>Protection individuelle et collective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</w:p>
    <w:p w:rsidR="008A311D" w:rsidRPr="004C686E" w:rsidRDefault="008A311D" w:rsidP="008A311D">
      <w:pPr>
        <w:rPr>
          <w:b/>
          <w:bCs/>
          <w:color w:val="000000" w:themeColor="text1"/>
        </w:rPr>
      </w:pPr>
    </w:p>
    <w:p w:rsidR="008A311D" w:rsidRPr="00D13C94" w:rsidRDefault="008A311D" w:rsidP="008A311D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Début : 0</w:t>
      </w:r>
      <w:r w:rsidR="006A263B">
        <w:rPr>
          <w:rFonts w:ascii="Arial" w:hAnsi="Arial" w:cs="Arial"/>
          <w:bCs/>
          <w:color w:val="000000" w:themeColor="text1"/>
        </w:rPr>
        <w:t>9</w:t>
      </w:r>
      <w:r>
        <w:rPr>
          <w:rFonts w:ascii="Arial" w:hAnsi="Arial" w:cs="Arial"/>
          <w:bCs/>
          <w:color w:val="000000" w:themeColor="text1"/>
        </w:rPr>
        <w:t>/0</w:t>
      </w:r>
      <w:r w:rsidR="006A263B">
        <w:rPr>
          <w:rFonts w:ascii="Arial" w:hAnsi="Arial" w:cs="Arial"/>
          <w:bCs/>
          <w:color w:val="000000" w:themeColor="text1"/>
        </w:rPr>
        <w:t>6</w:t>
      </w:r>
      <w:r>
        <w:rPr>
          <w:rFonts w:ascii="Arial" w:hAnsi="Arial" w:cs="Arial"/>
          <w:bCs/>
          <w:color w:val="000000" w:themeColor="text1"/>
        </w:rPr>
        <w:t xml:space="preserve">/26                                                                                                                                    fin : </w:t>
      </w:r>
      <w:r w:rsidR="00DA5DD1">
        <w:rPr>
          <w:rFonts w:ascii="Arial" w:hAnsi="Arial" w:cs="Arial"/>
          <w:bCs/>
          <w:color w:val="000000" w:themeColor="text1"/>
        </w:rPr>
        <w:t>0</w:t>
      </w:r>
      <w:r w:rsidR="006A263B">
        <w:rPr>
          <w:rFonts w:ascii="Arial" w:hAnsi="Arial" w:cs="Arial"/>
          <w:bCs/>
          <w:color w:val="000000" w:themeColor="text1"/>
        </w:rPr>
        <w:t>7</w:t>
      </w:r>
      <w:r>
        <w:rPr>
          <w:rFonts w:ascii="Arial" w:hAnsi="Arial" w:cs="Arial"/>
          <w:bCs/>
          <w:color w:val="000000" w:themeColor="text1"/>
        </w:rPr>
        <w:t>/0</w:t>
      </w:r>
      <w:r w:rsidR="006A263B">
        <w:rPr>
          <w:rFonts w:ascii="Arial" w:hAnsi="Arial" w:cs="Arial"/>
          <w:bCs/>
          <w:color w:val="000000" w:themeColor="text1"/>
        </w:rPr>
        <w:t>8</w:t>
      </w:r>
      <w:r>
        <w:rPr>
          <w:rFonts w:ascii="Arial" w:hAnsi="Arial" w:cs="Arial"/>
          <w:bCs/>
          <w:color w:val="000000" w:themeColor="text1"/>
        </w:rPr>
        <w:t xml:space="preserve">/26    </w:t>
      </w:r>
    </w:p>
    <w:p w:rsidR="008A311D" w:rsidRDefault="008A311D" w:rsidP="008A311D">
      <w:pPr>
        <w:rPr>
          <w:rFonts w:ascii="Arial" w:hAnsi="Arial" w:cs="Arial"/>
          <w:bCs/>
          <w:color w:val="FF0000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5"/>
        <w:gridCol w:w="1697"/>
        <w:gridCol w:w="859"/>
        <w:gridCol w:w="1134"/>
        <w:gridCol w:w="4796"/>
      </w:tblGrid>
      <w:tr w:rsidR="008A311D" w:rsidRPr="00E3202E" w:rsidTr="00E00666">
        <w:trPr>
          <w:trHeight w:val="449"/>
        </w:trPr>
        <w:tc>
          <w:tcPr>
            <w:tcW w:w="1805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697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9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796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65362E" w:rsidRPr="00D13C94" w:rsidTr="00E00666">
        <w:trPr>
          <w:trHeight w:val="587"/>
        </w:trPr>
        <w:tc>
          <w:tcPr>
            <w:tcW w:w="1805" w:type="dxa"/>
          </w:tcPr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ISO 9705-1</w:t>
            </w:r>
          </w:p>
        </w:tc>
        <w:tc>
          <w:tcPr>
            <w:tcW w:w="1697" w:type="dxa"/>
          </w:tcPr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ISO 9705-1</w:t>
            </w:r>
          </w:p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2016</w:t>
            </w:r>
          </w:p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859" w:type="dxa"/>
            <w:vAlign w:val="center"/>
          </w:tcPr>
          <w:p w:rsidR="0065362E" w:rsidRDefault="0065362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5362E" w:rsidRDefault="0065362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65362E" w:rsidRDefault="0065362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5362E" w:rsidRPr="0048498D" w:rsidRDefault="0065362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5362E" w:rsidRPr="0048498D" w:rsidRDefault="0065362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</w:rPr>
              <w:t>13.220.50</w:t>
            </w: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65362E" w:rsidRPr="0065362E" w:rsidRDefault="0065362E" w:rsidP="00C70238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Essais de réaction au feu — Essai dans le coin d’une pièce pour les produits de revêtement pour murs et plafonds —Partie 1:Méthode d’essai pour une configuration de petite pièce</w:t>
            </w:r>
          </w:p>
        </w:tc>
      </w:tr>
      <w:tr w:rsidR="0065362E" w:rsidRPr="00D13C94" w:rsidTr="00E00666">
        <w:trPr>
          <w:trHeight w:val="620"/>
        </w:trPr>
        <w:tc>
          <w:tcPr>
            <w:tcW w:w="1805" w:type="dxa"/>
          </w:tcPr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24580</w:t>
            </w:r>
          </w:p>
        </w:tc>
        <w:tc>
          <w:tcPr>
            <w:tcW w:w="1697" w:type="dxa"/>
          </w:tcPr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EN 71-18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                  </w:t>
            </w: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2024</w:t>
            </w:r>
          </w:p>
        </w:tc>
        <w:tc>
          <w:tcPr>
            <w:tcW w:w="859" w:type="dxa"/>
            <w:vAlign w:val="center"/>
          </w:tcPr>
          <w:p w:rsidR="0065362E" w:rsidRDefault="0065362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5362E" w:rsidRDefault="0065362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65362E" w:rsidRPr="0048498D" w:rsidRDefault="0065362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</w:rPr>
              <w:t>97.190</w:t>
            </w:r>
          </w:p>
        </w:tc>
        <w:tc>
          <w:tcPr>
            <w:tcW w:w="4796" w:type="dxa"/>
            <w:vAlign w:val="center"/>
          </w:tcPr>
          <w:p w:rsidR="0065362E" w:rsidRPr="0065362E" w:rsidRDefault="0065362E" w:rsidP="00C70238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Sécurité des jouets —  Phénol dans les matériaux jouets aqueux (teneur) et polymères (migration)</w:t>
            </w:r>
          </w:p>
        </w:tc>
      </w:tr>
      <w:tr w:rsidR="0065362E" w:rsidRPr="00D13C94" w:rsidTr="00E00666">
        <w:trPr>
          <w:trHeight w:val="492"/>
        </w:trPr>
        <w:tc>
          <w:tcPr>
            <w:tcW w:w="1805" w:type="dxa"/>
          </w:tcPr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24581</w:t>
            </w:r>
          </w:p>
        </w:tc>
        <w:tc>
          <w:tcPr>
            <w:tcW w:w="1697" w:type="dxa"/>
          </w:tcPr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EN 71-19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         </w:t>
            </w: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2024</w:t>
            </w:r>
          </w:p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859" w:type="dxa"/>
            <w:vAlign w:val="center"/>
          </w:tcPr>
          <w:p w:rsidR="0065362E" w:rsidRDefault="0065362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5362E" w:rsidRDefault="0065362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IDT</w:t>
            </w:r>
          </w:p>
          <w:p w:rsidR="0065362E" w:rsidRPr="0048498D" w:rsidRDefault="0065362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5362E" w:rsidRPr="0048498D" w:rsidRDefault="0065362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</w:rPr>
              <w:t>97.190</w:t>
            </w: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65362E" w:rsidRPr="0065362E" w:rsidRDefault="0065362E" w:rsidP="00C70238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Sécurité des jouets —  Migration du bisphénol A depuis les matériaux-jouets</w:t>
            </w:r>
          </w:p>
        </w:tc>
      </w:tr>
      <w:tr w:rsidR="0065362E" w:rsidRPr="00D13C94" w:rsidTr="00E00666">
        <w:trPr>
          <w:trHeight w:val="492"/>
        </w:trPr>
        <w:tc>
          <w:tcPr>
            <w:tcW w:w="1805" w:type="dxa"/>
          </w:tcPr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24582</w:t>
            </w:r>
          </w:p>
        </w:tc>
        <w:tc>
          <w:tcPr>
            <w:tcW w:w="1697" w:type="dxa"/>
          </w:tcPr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EN 71-20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                 </w:t>
            </w: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2025</w:t>
            </w:r>
          </w:p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859" w:type="dxa"/>
            <w:vAlign w:val="center"/>
          </w:tcPr>
          <w:p w:rsidR="0065362E" w:rsidRDefault="0065362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65362E" w:rsidRPr="0048498D" w:rsidRDefault="0065362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</w:rPr>
              <w:t>97.200.50</w:t>
            </w: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65362E" w:rsidRPr="0065362E" w:rsidRDefault="0065362E" w:rsidP="00C70238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Sécurité des jouets —  Sécurité microbiologique des jouets contenant des milieux aqueux accessibles</w:t>
            </w:r>
          </w:p>
        </w:tc>
      </w:tr>
      <w:tr w:rsidR="0065362E" w:rsidRPr="00D13C94" w:rsidTr="00E00666">
        <w:trPr>
          <w:trHeight w:val="492"/>
        </w:trPr>
        <w:tc>
          <w:tcPr>
            <w:tcW w:w="1805" w:type="dxa"/>
          </w:tcPr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24584</w:t>
            </w:r>
          </w:p>
        </w:tc>
        <w:tc>
          <w:tcPr>
            <w:tcW w:w="1697" w:type="dxa"/>
          </w:tcPr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EN 1149-1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               </w:t>
            </w: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2006</w:t>
            </w:r>
          </w:p>
        </w:tc>
        <w:tc>
          <w:tcPr>
            <w:tcW w:w="859" w:type="dxa"/>
            <w:vAlign w:val="center"/>
          </w:tcPr>
          <w:p w:rsidR="0065362E" w:rsidRDefault="0065362E" w:rsidP="00E00666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5362E" w:rsidRDefault="0065362E" w:rsidP="00E00666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65362E" w:rsidRDefault="0065362E" w:rsidP="00E00666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5362E" w:rsidRPr="0048498D" w:rsidRDefault="0065362E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</w:rPr>
              <w:t>13.340.01</w:t>
            </w: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65362E" w:rsidRPr="0065362E" w:rsidRDefault="0065362E" w:rsidP="00C70238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Vêtements de protection — Propriétés électrostatiques —</w:t>
            </w:r>
          </w:p>
          <w:p w:rsidR="0065362E" w:rsidRPr="0065362E" w:rsidRDefault="0065362E" w:rsidP="00C70238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Méthode d'essai pour la résistivité de surface</w:t>
            </w:r>
          </w:p>
        </w:tc>
      </w:tr>
      <w:tr w:rsidR="0065362E" w:rsidRPr="00D13C94" w:rsidTr="00E00666">
        <w:trPr>
          <w:trHeight w:val="492"/>
        </w:trPr>
        <w:tc>
          <w:tcPr>
            <w:tcW w:w="1805" w:type="dxa"/>
          </w:tcPr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24585</w:t>
            </w:r>
          </w:p>
        </w:tc>
        <w:tc>
          <w:tcPr>
            <w:tcW w:w="1697" w:type="dxa"/>
          </w:tcPr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65362E" w:rsidRPr="0065362E" w:rsidRDefault="0065362E" w:rsidP="00C70238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EN 1149-2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                 </w:t>
            </w: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1997</w:t>
            </w:r>
          </w:p>
        </w:tc>
        <w:tc>
          <w:tcPr>
            <w:tcW w:w="859" w:type="dxa"/>
            <w:vAlign w:val="center"/>
          </w:tcPr>
          <w:p w:rsidR="0065362E" w:rsidRDefault="0065362E" w:rsidP="0065362E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65362E" w:rsidRDefault="0065362E" w:rsidP="0065362E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5362E" w:rsidRPr="0048498D" w:rsidRDefault="0065362E" w:rsidP="00E00666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</w:rPr>
              <w:t>13.340.10</w:t>
            </w: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65362E" w:rsidRPr="0065362E" w:rsidRDefault="0065362E" w:rsidP="00C70238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Vêtements de protection — Propriétés électrostatiques — Méthode d'essai pour le mesurage de la résistance électrique à travers un matériau (résistance verticale)</w:t>
            </w:r>
          </w:p>
        </w:tc>
      </w:tr>
    </w:tbl>
    <w:p w:rsidR="00D87954" w:rsidRDefault="00D87954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99132E" w:rsidRDefault="0099132E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DA5DD1" w:rsidRDefault="00DA5DD1" w:rsidP="00D13C94">
      <w:pPr>
        <w:rPr>
          <w:rFonts w:ascii="Arial" w:hAnsi="Arial" w:cs="Arial"/>
          <w:bCs/>
          <w:color w:val="FF0000"/>
          <w:sz w:val="16"/>
          <w:szCs w:val="16"/>
        </w:rPr>
      </w:pPr>
      <w:bookmarkStart w:id="0" w:name="_GoBack"/>
      <w:bookmarkEnd w:id="0"/>
    </w:p>
    <w:sectPr w:rsidR="00DA5DD1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55E" w:rsidRDefault="001B355E" w:rsidP="00A95B30">
      <w:r>
        <w:separator/>
      </w:r>
    </w:p>
  </w:endnote>
  <w:endnote w:type="continuationSeparator" w:id="0">
    <w:p w:rsidR="001B355E" w:rsidRDefault="001B355E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55E" w:rsidRDefault="001B355E" w:rsidP="00A95B30">
      <w:r>
        <w:separator/>
      </w:r>
    </w:p>
  </w:footnote>
  <w:footnote w:type="continuationSeparator" w:id="0">
    <w:p w:rsidR="001B355E" w:rsidRDefault="001B355E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6"/>
    <w:rsid w:val="000031C3"/>
    <w:rsid w:val="00006EBB"/>
    <w:rsid w:val="00011216"/>
    <w:rsid w:val="000124CC"/>
    <w:rsid w:val="000130EF"/>
    <w:rsid w:val="0001365C"/>
    <w:rsid w:val="00016543"/>
    <w:rsid w:val="000173B0"/>
    <w:rsid w:val="000176B4"/>
    <w:rsid w:val="00021015"/>
    <w:rsid w:val="000262FA"/>
    <w:rsid w:val="00041773"/>
    <w:rsid w:val="00046469"/>
    <w:rsid w:val="00050040"/>
    <w:rsid w:val="00052896"/>
    <w:rsid w:val="000560A8"/>
    <w:rsid w:val="00063A06"/>
    <w:rsid w:val="00064136"/>
    <w:rsid w:val="00075B83"/>
    <w:rsid w:val="000877BC"/>
    <w:rsid w:val="000A737F"/>
    <w:rsid w:val="000B4A52"/>
    <w:rsid w:val="000B4AC2"/>
    <w:rsid w:val="000B5471"/>
    <w:rsid w:val="000B7808"/>
    <w:rsid w:val="000C54D9"/>
    <w:rsid w:val="000D087B"/>
    <w:rsid w:val="000D3DC3"/>
    <w:rsid w:val="000D448F"/>
    <w:rsid w:val="000F22C1"/>
    <w:rsid w:val="000F4E70"/>
    <w:rsid w:val="00122323"/>
    <w:rsid w:val="0013335B"/>
    <w:rsid w:val="00145697"/>
    <w:rsid w:val="0014647E"/>
    <w:rsid w:val="001506E1"/>
    <w:rsid w:val="00155CCD"/>
    <w:rsid w:val="00156A8C"/>
    <w:rsid w:val="00165959"/>
    <w:rsid w:val="001665E9"/>
    <w:rsid w:val="00166CFF"/>
    <w:rsid w:val="00181EB9"/>
    <w:rsid w:val="00185FFE"/>
    <w:rsid w:val="001A5DE5"/>
    <w:rsid w:val="001A66FB"/>
    <w:rsid w:val="001A717F"/>
    <w:rsid w:val="001B1D82"/>
    <w:rsid w:val="001B293C"/>
    <w:rsid w:val="001B2F7A"/>
    <w:rsid w:val="001B355E"/>
    <w:rsid w:val="001B6249"/>
    <w:rsid w:val="001C050C"/>
    <w:rsid w:val="001C20D6"/>
    <w:rsid w:val="001D0EA0"/>
    <w:rsid w:val="001D1C77"/>
    <w:rsid w:val="001D2044"/>
    <w:rsid w:val="001D6296"/>
    <w:rsid w:val="001D76C7"/>
    <w:rsid w:val="001E0A77"/>
    <w:rsid w:val="001F23D9"/>
    <w:rsid w:val="0020392C"/>
    <w:rsid w:val="0020626B"/>
    <w:rsid w:val="00217474"/>
    <w:rsid w:val="002279B4"/>
    <w:rsid w:val="00250BCD"/>
    <w:rsid w:val="00254258"/>
    <w:rsid w:val="00255B30"/>
    <w:rsid w:val="00265602"/>
    <w:rsid w:val="0026712E"/>
    <w:rsid w:val="00267A94"/>
    <w:rsid w:val="00272EEF"/>
    <w:rsid w:val="00276316"/>
    <w:rsid w:val="00277902"/>
    <w:rsid w:val="00290F63"/>
    <w:rsid w:val="002A4671"/>
    <w:rsid w:val="002B01D8"/>
    <w:rsid w:val="002B0936"/>
    <w:rsid w:val="002B7AD1"/>
    <w:rsid w:val="002C35A3"/>
    <w:rsid w:val="002E3468"/>
    <w:rsid w:val="002E4F87"/>
    <w:rsid w:val="002E6C9F"/>
    <w:rsid w:val="002F77F9"/>
    <w:rsid w:val="00303AE7"/>
    <w:rsid w:val="0033725D"/>
    <w:rsid w:val="00350ABC"/>
    <w:rsid w:val="00353C7C"/>
    <w:rsid w:val="00372E6B"/>
    <w:rsid w:val="003815D0"/>
    <w:rsid w:val="003822EF"/>
    <w:rsid w:val="00385081"/>
    <w:rsid w:val="0038781A"/>
    <w:rsid w:val="0039348D"/>
    <w:rsid w:val="003B487C"/>
    <w:rsid w:val="003B4AB5"/>
    <w:rsid w:val="003D28EE"/>
    <w:rsid w:val="003D5019"/>
    <w:rsid w:val="003D7EF1"/>
    <w:rsid w:val="003E65AC"/>
    <w:rsid w:val="003F1A54"/>
    <w:rsid w:val="00406B2B"/>
    <w:rsid w:val="00435E57"/>
    <w:rsid w:val="00442C33"/>
    <w:rsid w:val="00445692"/>
    <w:rsid w:val="00446BBD"/>
    <w:rsid w:val="00451C9E"/>
    <w:rsid w:val="004608F2"/>
    <w:rsid w:val="00466179"/>
    <w:rsid w:val="00480A02"/>
    <w:rsid w:val="00481A27"/>
    <w:rsid w:val="004A0BF6"/>
    <w:rsid w:val="004A65B9"/>
    <w:rsid w:val="004B0131"/>
    <w:rsid w:val="004B2408"/>
    <w:rsid w:val="004B275F"/>
    <w:rsid w:val="004C686E"/>
    <w:rsid w:val="004D4359"/>
    <w:rsid w:val="004D5157"/>
    <w:rsid w:val="004E041F"/>
    <w:rsid w:val="004F01D6"/>
    <w:rsid w:val="004F1D57"/>
    <w:rsid w:val="00506C12"/>
    <w:rsid w:val="0050746C"/>
    <w:rsid w:val="0050757E"/>
    <w:rsid w:val="00513696"/>
    <w:rsid w:val="00515A2F"/>
    <w:rsid w:val="00515B1F"/>
    <w:rsid w:val="0052158B"/>
    <w:rsid w:val="005273A1"/>
    <w:rsid w:val="005413CB"/>
    <w:rsid w:val="00576E23"/>
    <w:rsid w:val="0059728C"/>
    <w:rsid w:val="005974EA"/>
    <w:rsid w:val="005A125A"/>
    <w:rsid w:val="005D1047"/>
    <w:rsid w:val="005D23AD"/>
    <w:rsid w:val="005E47C5"/>
    <w:rsid w:val="005E6F86"/>
    <w:rsid w:val="005F10B1"/>
    <w:rsid w:val="0060086B"/>
    <w:rsid w:val="00604349"/>
    <w:rsid w:val="00607D5B"/>
    <w:rsid w:val="00637D91"/>
    <w:rsid w:val="00644BBA"/>
    <w:rsid w:val="00646A1C"/>
    <w:rsid w:val="00651790"/>
    <w:rsid w:val="00652632"/>
    <w:rsid w:val="006535B7"/>
    <w:rsid w:val="0065362E"/>
    <w:rsid w:val="006569D5"/>
    <w:rsid w:val="00657259"/>
    <w:rsid w:val="00661423"/>
    <w:rsid w:val="00662466"/>
    <w:rsid w:val="00666943"/>
    <w:rsid w:val="006708FB"/>
    <w:rsid w:val="00686C39"/>
    <w:rsid w:val="00687435"/>
    <w:rsid w:val="00696F64"/>
    <w:rsid w:val="006A263B"/>
    <w:rsid w:val="006A3FE2"/>
    <w:rsid w:val="006D125A"/>
    <w:rsid w:val="006D4EC2"/>
    <w:rsid w:val="006E5D3D"/>
    <w:rsid w:val="006E65F3"/>
    <w:rsid w:val="00736928"/>
    <w:rsid w:val="007375D4"/>
    <w:rsid w:val="007477C7"/>
    <w:rsid w:val="007507A9"/>
    <w:rsid w:val="00752650"/>
    <w:rsid w:val="00756C4D"/>
    <w:rsid w:val="00756F24"/>
    <w:rsid w:val="00784314"/>
    <w:rsid w:val="00786A65"/>
    <w:rsid w:val="00793CCF"/>
    <w:rsid w:val="00794BBF"/>
    <w:rsid w:val="00796FAC"/>
    <w:rsid w:val="007A178F"/>
    <w:rsid w:val="007A3C3C"/>
    <w:rsid w:val="007B0952"/>
    <w:rsid w:val="007B1294"/>
    <w:rsid w:val="007B1F19"/>
    <w:rsid w:val="007B56E1"/>
    <w:rsid w:val="007B6D3A"/>
    <w:rsid w:val="007B7339"/>
    <w:rsid w:val="007C0EC7"/>
    <w:rsid w:val="007C307B"/>
    <w:rsid w:val="007C469A"/>
    <w:rsid w:val="007D071F"/>
    <w:rsid w:val="007D09A2"/>
    <w:rsid w:val="007D0AF5"/>
    <w:rsid w:val="007D35A0"/>
    <w:rsid w:val="007D3930"/>
    <w:rsid w:val="007D4D2C"/>
    <w:rsid w:val="007D5469"/>
    <w:rsid w:val="007F409A"/>
    <w:rsid w:val="00802C17"/>
    <w:rsid w:val="0080316A"/>
    <w:rsid w:val="00812E0B"/>
    <w:rsid w:val="00813318"/>
    <w:rsid w:val="00814EB3"/>
    <w:rsid w:val="00822058"/>
    <w:rsid w:val="0083281D"/>
    <w:rsid w:val="00833CDC"/>
    <w:rsid w:val="00844B63"/>
    <w:rsid w:val="00850075"/>
    <w:rsid w:val="00850EF8"/>
    <w:rsid w:val="00853E08"/>
    <w:rsid w:val="0085495B"/>
    <w:rsid w:val="0086044F"/>
    <w:rsid w:val="00864B93"/>
    <w:rsid w:val="00866D06"/>
    <w:rsid w:val="00895821"/>
    <w:rsid w:val="008A311D"/>
    <w:rsid w:val="008B0022"/>
    <w:rsid w:val="008B0103"/>
    <w:rsid w:val="008B5BA4"/>
    <w:rsid w:val="008B675F"/>
    <w:rsid w:val="008C1D21"/>
    <w:rsid w:val="008C6636"/>
    <w:rsid w:val="008D30D5"/>
    <w:rsid w:val="008F6530"/>
    <w:rsid w:val="00900B3C"/>
    <w:rsid w:val="009160CB"/>
    <w:rsid w:val="00916E32"/>
    <w:rsid w:val="00932301"/>
    <w:rsid w:val="00936A8F"/>
    <w:rsid w:val="00941FAF"/>
    <w:rsid w:val="009478B5"/>
    <w:rsid w:val="00947F38"/>
    <w:rsid w:val="00951C38"/>
    <w:rsid w:val="00951F27"/>
    <w:rsid w:val="00953974"/>
    <w:rsid w:val="00963470"/>
    <w:rsid w:val="009700DB"/>
    <w:rsid w:val="00971EA7"/>
    <w:rsid w:val="00972864"/>
    <w:rsid w:val="00981950"/>
    <w:rsid w:val="009832EC"/>
    <w:rsid w:val="0099132E"/>
    <w:rsid w:val="00991492"/>
    <w:rsid w:val="00995DDA"/>
    <w:rsid w:val="00996340"/>
    <w:rsid w:val="0099751B"/>
    <w:rsid w:val="00997740"/>
    <w:rsid w:val="009A2454"/>
    <w:rsid w:val="009A384C"/>
    <w:rsid w:val="009B1DFD"/>
    <w:rsid w:val="009B24DF"/>
    <w:rsid w:val="009B7F83"/>
    <w:rsid w:val="009F20FB"/>
    <w:rsid w:val="00A01E4A"/>
    <w:rsid w:val="00A07B91"/>
    <w:rsid w:val="00A14E32"/>
    <w:rsid w:val="00A15670"/>
    <w:rsid w:val="00A15FEE"/>
    <w:rsid w:val="00A1748C"/>
    <w:rsid w:val="00A178F3"/>
    <w:rsid w:val="00A5318B"/>
    <w:rsid w:val="00A62A3F"/>
    <w:rsid w:val="00A871E7"/>
    <w:rsid w:val="00A93E08"/>
    <w:rsid w:val="00A94A6F"/>
    <w:rsid w:val="00A95B30"/>
    <w:rsid w:val="00AA04F7"/>
    <w:rsid w:val="00AA743F"/>
    <w:rsid w:val="00AB073A"/>
    <w:rsid w:val="00AD1321"/>
    <w:rsid w:val="00AD47FC"/>
    <w:rsid w:val="00AD572A"/>
    <w:rsid w:val="00AD73B9"/>
    <w:rsid w:val="00AE387C"/>
    <w:rsid w:val="00AF27DC"/>
    <w:rsid w:val="00AF6B41"/>
    <w:rsid w:val="00B019CD"/>
    <w:rsid w:val="00B07BB6"/>
    <w:rsid w:val="00B136B7"/>
    <w:rsid w:val="00B13D70"/>
    <w:rsid w:val="00B16A1D"/>
    <w:rsid w:val="00B71217"/>
    <w:rsid w:val="00B7185E"/>
    <w:rsid w:val="00B7738F"/>
    <w:rsid w:val="00B955A1"/>
    <w:rsid w:val="00B96324"/>
    <w:rsid w:val="00BA71BD"/>
    <w:rsid w:val="00BC2AE8"/>
    <w:rsid w:val="00BC64E6"/>
    <w:rsid w:val="00BD6D56"/>
    <w:rsid w:val="00BE0499"/>
    <w:rsid w:val="00BE1115"/>
    <w:rsid w:val="00BE38F6"/>
    <w:rsid w:val="00BE6D0E"/>
    <w:rsid w:val="00BF5A49"/>
    <w:rsid w:val="00BF60BB"/>
    <w:rsid w:val="00C01F7D"/>
    <w:rsid w:val="00C034AD"/>
    <w:rsid w:val="00C140E6"/>
    <w:rsid w:val="00C24BB1"/>
    <w:rsid w:val="00C2700E"/>
    <w:rsid w:val="00C305A6"/>
    <w:rsid w:val="00C439C3"/>
    <w:rsid w:val="00C445F2"/>
    <w:rsid w:val="00C47A59"/>
    <w:rsid w:val="00C737CE"/>
    <w:rsid w:val="00C92734"/>
    <w:rsid w:val="00C93510"/>
    <w:rsid w:val="00C97F7D"/>
    <w:rsid w:val="00CA37AB"/>
    <w:rsid w:val="00CA3F23"/>
    <w:rsid w:val="00CE5F97"/>
    <w:rsid w:val="00D06149"/>
    <w:rsid w:val="00D112B9"/>
    <w:rsid w:val="00D1233C"/>
    <w:rsid w:val="00D13C94"/>
    <w:rsid w:val="00D224EE"/>
    <w:rsid w:val="00D32119"/>
    <w:rsid w:val="00D344F4"/>
    <w:rsid w:val="00D40B4F"/>
    <w:rsid w:val="00D44D98"/>
    <w:rsid w:val="00D50F75"/>
    <w:rsid w:val="00D56DC2"/>
    <w:rsid w:val="00D64E01"/>
    <w:rsid w:val="00D76B48"/>
    <w:rsid w:val="00D7788D"/>
    <w:rsid w:val="00D8113D"/>
    <w:rsid w:val="00D82F20"/>
    <w:rsid w:val="00D87954"/>
    <w:rsid w:val="00D87DC2"/>
    <w:rsid w:val="00D94134"/>
    <w:rsid w:val="00DA1286"/>
    <w:rsid w:val="00DA5A2F"/>
    <w:rsid w:val="00DA5DD1"/>
    <w:rsid w:val="00DC1A53"/>
    <w:rsid w:val="00DD1B46"/>
    <w:rsid w:val="00DE1991"/>
    <w:rsid w:val="00DE7172"/>
    <w:rsid w:val="00E00666"/>
    <w:rsid w:val="00E11EE0"/>
    <w:rsid w:val="00E13039"/>
    <w:rsid w:val="00E3202E"/>
    <w:rsid w:val="00E36484"/>
    <w:rsid w:val="00E43DC7"/>
    <w:rsid w:val="00E507AD"/>
    <w:rsid w:val="00E52360"/>
    <w:rsid w:val="00E666EC"/>
    <w:rsid w:val="00E749E1"/>
    <w:rsid w:val="00E83BEB"/>
    <w:rsid w:val="00E95CEF"/>
    <w:rsid w:val="00EA2775"/>
    <w:rsid w:val="00EB00B3"/>
    <w:rsid w:val="00EB2D0E"/>
    <w:rsid w:val="00EB4456"/>
    <w:rsid w:val="00EB66D9"/>
    <w:rsid w:val="00EB6C11"/>
    <w:rsid w:val="00EC5355"/>
    <w:rsid w:val="00EC5D4B"/>
    <w:rsid w:val="00ED0249"/>
    <w:rsid w:val="00ED486B"/>
    <w:rsid w:val="00EE54BF"/>
    <w:rsid w:val="00EF0413"/>
    <w:rsid w:val="00EF0EB2"/>
    <w:rsid w:val="00EF1184"/>
    <w:rsid w:val="00EF1ED9"/>
    <w:rsid w:val="00EF20BF"/>
    <w:rsid w:val="00EF22C9"/>
    <w:rsid w:val="00EF2465"/>
    <w:rsid w:val="00EF53C2"/>
    <w:rsid w:val="00EF6C4B"/>
    <w:rsid w:val="00F04040"/>
    <w:rsid w:val="00F10250"/>
    <w:rsid w:val="00F13166"/>
    <w:rsid w:val="00F14983"/>
    <w:rsid w:val="00F21154"/>
    <w:rsid w:val="00F26767"/>
    <w:rsid w:val="00F36E20"/>
    <w:rsid w:val="00F41542"/>
    <w:rsid w:val="00F77E14"/>
    <w:rsid w:val="00F872F9"/>
    <w:rsid w:val="00F90168"/>
    <w:rsid w:val="00F91483"/>
    <w:rsid w:val="00F921E1"/>
    <w:rsid w:val="00F97BBB"/>
    <w:rsid w:val="00FA121A"/>
    <w:rsid w:val="00FA5356"/>
    <w:rsid w:val="00FA78A6"/>
    <w:rsid w:val="00FC0BA6"/>
    <w:rsid w:val="00FC3568"/>
    <w:rsid w:val="00FC48D1"/>
    <w:rsid w:val="00FC6554"/>
    <w:rsid w:val="00FD34C7"/>
    <w:rsid w:val="00FE7651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91B52-E575-4C34-B6ED-C4E642CC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2026-06-14T14:59:00Z</dcterms:created>
  <dcterms:modified xsi:type="dcterms:W3CDTF">2026-06-14T14:59:00Z</dcterms:modified>
</cp:coreProperties>
</file>