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B30" w:rsidRPr="00D13C94" w:rsidRDefault="00A95B30" w:rsidP="00D13C94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3815D0" w:rsidRDefault="003815D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3815D0" w:rsidRDefault="003815D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A95B30" w:rsidRPr="00D13C94" w:rsidRDefault="005263D1" w:rsidP="00B302A2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DEPARTEMENT CHIMIE </w:t>
      </w:r>
    </w:p>
    <w:p w:rsidR="00303AE7" w:rsidRPr="00D13C94" w:rsidRDefault="00303AE7" w:rsidP="00D13C94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CC604A" w:rsidRDefault="00CC604A" w:rsidP="00262564">
      <w:pPr>
        <w:rPr>
          <w:rFonts w:ascii="Arial" w:hAnsi="Arial"/>
          <w:b/>
          <w:bCs/>
        </w:rPr>
      </w:pPr>
    </w:p>
    <w:p w:rsidR="009E3E7C" w:rsidRPr="00BA775B" w:rsidRDefault="009E3E7C" w:rsidP="009E3E7C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BA775B">
        <w:rPr>
          <w:rFonts w:ascii="Arial" w:hAnsi="Arial" w:cs="Arial"/>
          <w:b/>
          <w:color w:val="000000" w:themeColor="text1"/>
          <w:sz w:val="28"/>
          <w:szCs w:val="28"/>
        </w:rPr>
        <w:t>CTN 56</w:t>
      </w:r>
      <w:r w:rsidRPr="00BA775B">
        <w:rPr>
          <w:rFonts w:ascii="Arial" w:hAnsi="Arial" w:cs="Arial"/>
          <w:bCs/>
          <w:color w:val="000000" w:themeColor="text1"/>
          <w:sz w:val="28"/>
          <w:szCs w:val="28"/>
        </w:rPr>
        <w:t xml:space="preserve">: </w:t>
      </w:r>
      <w:r w:rsidRPr="00BA775B">
        <w:rPr>
          <w:rFonts w:ascii="Arial" w:hAnsi="Arial" w:cs="Arial"/>
          <w:b/>
          <w:color w:val="000000" w:themeColor="text1"/>
          <w:sz w:val="28"/>
          <w:szCs w:val="28"/>
        </w:rPr>
        <w:t xml:space="preserve">CAOUATCHOUC </w:t>
      </w:r>
      <w:r w:rsidRPr="00BA775B">
        <w:rPr>
          <w:rFonts w:ascii="Arial" w:hAnsi="Arial" w:cs="Arial"/>
          <w:bCs/>
          <w:color w:val="000000" w:themeColor="text1"/>
          <w:sz w:val="28"/>
          <w:szCs w:val="28"/>
        </w:rPr>
        <w:t>(Normes en enquête publique)</w:t>
      </w:r>
    </w:p>
    <w:p w:rsidR="009E3E7C" w:rsidRPr="00BA775B" w:rsidRDefault="009E3E7C" w:rsidP="00CB49AA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BA775B">
        <w:rPr>
          <w:rFonts w:ascii="Arial" w:hAnsi="Arial" w:cs="Arial"/>
          <w:bCs/>
          <w:color w:val="000000" w:themeColor="text1"/>
          <w:sz w:val="28"/>
          <w:szCs w:val="28"/>
        </w:rPr>
        <w:t>Début de l’enquête :</w:t>
      </w:r>
      <w:r w:rsidR="00CB49AA">
        <w:rPr>
          <w:rFonts w:ascii="Arial" w:hAnsi="Arial" w:cs="Arial"/>
          <w:bCs/>
          <w:color w:val="000000" w:themeColor="text1"/>
          <w:sz w:val="28"/>
          <w:szCs w:val="28"/>
        </w:rPr>
        <w:t>14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/0</w:t>
      </w:r>
      <w:r w:rsidR="00CB49AA">
        <w:rPr>
          <w:rFonts w:ascii="Arial" w:hAnsi="Arial" w:cs="Arial"/>
          <w:bCs/>
          <w:color w:val="000000" w:themeColor="text1"/>
          <w:sz w:val="28"/>
          <w:szCs w:val="28"/>
        </w:rPr>
        <w:t>5</w:t>
      </w:r>
      <w:r w:rsidRPr="00BA775B">
        <w:rPr>
          <w:rFonts w:ascii="Arial" w:hAnsi="Arial" w:cs="Arial"/>
          <w:bCs/>
          <w:color w:val="000000" w:themeColor="text1"/>
          <w:sz w:val="28"/>
          <w:szCs w:val="28"/>
        </w:rPr>
        <w:t>/202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6</w:t>
      </w:r>
      <w:r w:rsidRPr="00BA775B">
        <w:rPr>
          <w:rFonts w:ascii="Arial" w:hAnsi="Arial" w:cs="Arial"/>
          <w:bCs/>
          <w:color w:val="000000" w:themeColor="text1"/>
          <w:sz w:val="28"/>
          <w:szCs w:val="28"/>
        </w:rPr>
        <w:t xml:space="preserve">             fin de l’enquête </w:t>
      </w:r>
      <w:r w:rsidR="00942851" w:rsidRPr="00BA775B">
        <w:rPr>
          <w:rFonts w:ascii="Arial" w:hAnsi="Arial" w:cs="Arial"/>
          <w:bCs/>
          <w:color w:val="000000" w:themeColor="text1"/>
          <w:sz w:val="28"/>
          <w:szCs w:val="28"/>
        </w:rPr>
        <w:t>:</w:t>
      </w:r>
      <w:r w:rsidR="009428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CB49AA">
        <w:rPr>
          <w:rFonts w:ascii="Arial" w:hAnsi="Arial" w:cs="Arial"/>
          <w:bCs/>
          <w:color w:val="000000" w:themeColor="text1"/>
          <w:sz w:val="28"/>
          <w:szCs w:val="28"/>
        </w:rPr>
        <w:t>14</w:t>
      </w:r>
      <w:r w:rsidRPr="00BA775B">
        <w:rPr>
          <w:rFonts w:ascii="Arial" w:hAnsi="Arial" w:cs="Arial"/>
          <w:bCs/>
          <w:color w:val="000000" w:themeColor="text1"/>
          <w:sz w:val="28"/>
          <w:szCs w:val="28"/>
        </w:rPr>
        <w:t>/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0</w:t>
      </w:r>
      <w:r w:rsidR="00CB49AA">
        <w:rPr>
          <w:rFonts w:ascii="Arial" w:hAnsi="Arial" w:cs="Arial"/>
          <w:bCs/>
          <w:color w:val="000000" w:themeColor="text1"/>
          <w:sz w:val="28"/>
          <w:szCs w:val="28"/>
        </w:rPr>
        <w:t>7</w:t>
      </w:r>
      <w:r w:rsidRPr="00BA775B">
        <w:rPr>
          <w:rFonts w:ascii="Arial" w:hAnsi="Arial" w:cs="Arial"/>
          <w:bCs/>
          <w:color w:val="000000" w:themeColor="text1"/>
          <w:sz w:val="28"/>
          <w:szCs w:val="28"/>
        </w:rPr>
        <w:t>/202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6</w:t>
      </w:r>
    </w:p>
    <w:p w:rsidR="00CC604A" w:rsidRDefault="00CC604A" w:rsidP="00262564">
      <w:pPr>
        <w:rPr>
          <w:rFonts w:ascii="Arial" w:hAnsi="Arial"/>
          <w:b/>
          <w:bCs/>
        </w:rPr>
      </w:pPr>
    </w:p>
    <w:p w:rsidR="00CC604A" w:rsidRDefault="00CC604A" w:rsidP="00262564">
      <w:pPr>
        <w:rPr>
          <w:rFonts w:ascii="Arial" w:hAnsi="Arial"/>
          <w:b/>
          <w:bCs/>
        </w:rPr>
      </w:pPr>
    </w:p>
    <w:p w:rsidR="00CC604A" w:rsidRDefault="00CC604A" w:rsidP="00262564">
      <w:pPr>
        <w:rPr>
          <w:rFonts w:ascii="Arial" w:hAnsi="Arial"/>
          <w:b/>
          <w:bCs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2235"/>
        <w:gridCol w:w="1842"/>
        <w:gridCol w:w="851"/>
        <w:gridCol w:w="1417"/>
        <w:gridCol w:w="3828"/>
      </w:tblGrid>
      <w:tr w:rsidR="009E3E7C" w:rsidRPr="00BA775B" w:rsidTr="009E68A5">
        <w:trPr>
          <w:trHeight w:val="570"/>
        </w:trPr>
        <w:tc>
          <w:tcPr>
            <w:tcW w:w="2235" w:type="dxa"/>
            <w:shd w:val="clear" w:color="auto" w:fill="DDD9C3" w:themeFill="background2" w:themeFillShade="E6"/>
            <w:vAlign w:val="center"/>
          </w:tcPr>
          <w:p w:rsidR="009E3E7C" w:rsidRPr="00BA775B" w:rsidRDefault="009E3E7C" w:rsidP="009E68A5">
            <w:pPr>
              <w:jc w:val="center"/>
              <w:rPr>
                <w:rFonts w:asciiTheme="minorBidi" w:hAnsiTheme="minorBidi" w:cstheme="minorBidi"/>
                <w:bCs/>
                <w:color w:val="000000" w:themeColor="text1"/>
                <w:sz w:val="28"/>
                <w:szCs w:val="28"/>
              </w:rPr>
            </w:pPr>
            <w:r w:rsidRPr="00BA775B">
              <w:rPr>
                <w:rFonts w:asciiTheme="minorBidi" w:hAnsiTheme="minorBidi" w:cstheme="minorBidi"/>
                <w:bCs/>
                <w:color w:val="000000" w:themeColor="text1"/>
                <w:sz w:val="28"/>
                <w:szCs w:val="28"/>
              </w:rPr>
              <w:t>Référence</w:t>
            </w:r>
          </w:p>
          <w:p w:rsidR="009E3E7C" w:rsidRPr="00BA775B" w:rsidRDefault="009E3E7C" w:rsidP="009E68A5">
            <w:pPr>
              <w:jc w:val="center"/>
              <w:rPr>
                <w:rFonts w:asciiTheme="minorBidi" w:hAnsiTheme="minorBidi" w:cstheme="minorBidi"/>
                <w:bCs/>
                <w:color w:val="000000" w:themeColor="text1"/>
                <w:sz w:val="28"/>
                <w:szCs w:val="28"/>
              </w:rPr>
            </w:pPr>
            <w:r w:rsidRPr="00BA775B">
              <w:rPr>
                <w:rFonts w:asciiTheme="minorBidi" w:hAnsiTheme="minorBidi" w:cstheme="minorBidi"/>
                <w:bCs/>
                <w:color w:val="000000" w:themeColor="text1"/>
                <w:sz w:val="28"/>
                <w:szCs w:val="28"/>
              </w:rPr>
              <w:t>Du PN</w:t>
            </w:r>
          </w:p>
        </w:tc>
        <w:tc>
          <w:tcPr>
            <w:tcW w:w="1842" w:type="dxa"/>
            <w:shd w:val="clear" w:color="auto" w:fill="DDD9C3" w:themeFill="background2" w:themeFillShade="E6"/>
            <w:vAlign w:val="center"/>
          </w:tcPr>
          <w:p w:rsidR="009E3E7C" w:rsidRPr="00BA775B" w:rsidRDefault="009E3E7C" w:rsidP="009E68A5">
            <w:pPr>
              <w:jc w:val="center"/>
              <w:rPr>
                <w:rFonts w:asciiTheme="minorBidi" w:hAnsiTheme="minorBidi" w:cstheme="minorBidi"/>
                <w:bCs/>
                <w:color w:val="000000" w:themeColor="text1"/>
                <w:sz w:val="28"/>
                <w:szCs w:val="28"/>
              </w:rPr>
            </w:pPr>
            <w:r w:rsidRPr="00BA775B">
              <w:rPr>
                <w:rFonts w:asciiTheme="minorBidi" w:hAnsiTheme="minorBidi" w:cstheme="minorBidi"/>
                <w:bCs/>
                <w:color w:val="000000" w:themeColor="text1"/>
                <w:sz w:val="28"/>
                <w:szCs w:val="28"/>
              </w:rPr>
              <w:t>Source</w:t>
            </w:r>
          </w:p>
          <w:p w:rsidR="009E3E7C" w:rsidRPr="00BA775B" w:rsidRDefault="009E3E7C" w:rsidP="009E68A5">
            <w:pPr>
              <w:jc w:val="center"/>
              <w:rPr>
                <w:rFonts w:asciiTheme="minorBidi" w:hAnsiTheme="minorBidi" w:cstheme="minorBidi"/>
                <w:bCs/>
                <w:color w:val="000000" w:themeColor="text1"/>
                <w:sz w:val="28"/>
                <w:szCs w:val="28"/>
              </w:rPr>
            </w:pPr>
            <w:r w:rsidRPr="00BA775B">
              <w:rPr>
                <w:rFonts w:asciiTheme="minorBidi" w:hAnsiTheme="minorBidi" w:cstheme="minorBidi"/>
                <w:bCs/>
                <w:color w:val="000000" w:themeColor="text1"/>
                <w:sz w:val="28"/>
                <w:szCs w:val="28"/>
              </w:rPr>
              <w:t>Documentaire</w:t>
            </w:r>
          </w:p>
        </w:tc>
        <w:tc>
          <w:tcPr>
            <w:tcW w:w="851" w:type="dxa"/>
            <w:shd w:val="clear" w:color="auto" w:fill="DDD9C3" w:themeFill="background2" w:themeFillShade="E6"/>
            <w:vAlign w:val="center"/>
          </w:tcPr>
          <w:p w:rsidR="009E3E7C" w:rsidRPr="00BA775B" w:rsidRDefault="009E3E7C" w:rsidP="009E68A5">
            <w:pPr>
              <w:jc w:val="center"/>
              <w:rPr>
                <w:rFonts w:asciiTheme="minorBidi" w:hAnsiTheme="minorBidi" w:cstheme="minorBidi"/>
                <w:bCs/>
                <w:color w:val="000000" w:themeColor="text1"/>
                <w:sz w:val="28"/>
                <w:szCs w:val="28"/>
              </w:rPr>
            </w:pPr>
            <w:r w:rsidRPr="00BA775B">
              <w:rPr>
                <w:rFonts w:asciiTheme="minorBidi" w:hAnsiTheme="minorBidi" w:cstheme="minorBidi"/>
                <w:bCs/>
                <w:color w:val="000000" w:themeColor="text1"/>
                <w:sz w:val="28"/>
                <w:szCs w:val="28"/>
              </w:rPr>
              <w:t>Parenté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:rsidR="009E3E7C" w:rsidRPr="00BA775B" w:rsidRDefault="009E3E7C" w:rsidP="009E68A5">
            <w:pPr>
              <w:jc w:val="center"/>
              <w:rPr>
                <w:rFonts w:asciiTheme="minorBidi" w:hAnsiTheme="minorBidi" w:cstheme="minorBidi"/>
                <w:bCs/>
                <w:color w:val="000000" w:themeColor="text1"/>
                <w:sz w:val="28"/>
                <w:szCs w:val="28"/>
              </w:rPr>
            </w:pPr>
            <w:r w:rsidRPr="00BA775B">
              <w:rPr>
                <w:rFonts w:asciiTheme="minorBidi" w:hAnsiTheme="minorBidi" w:cstheme="minorBidi"/>
                <w:bCs/>
                <w:color w:val="000000" w:themeColor="text1"/>
                <w:sz w:val="28"/>
                <w:szCs w:val="28"/>
              </w:rPr>
              <w:t>ICS</w:t>
            </w:r>
          </w:p>
        </w:tc>
        <w:tc>
          <w:tcPr>
            <w:tcW w:w="3828" w:type="dxa"/>
            <w:shd w:val="clear" w:color="auto" w:fill="DDD9C3" w:themeFill="background2" w:themeFillShade="E6"/>
            <w:vAlign w:val="center"/>
          </w:tcPr>
          <w:p w:rsidR="009E3E7C" w:rsidRPr="00BA775B" w:rsidRDefault="009E3E7C" w:rsidP="009E68A5">
            <w:pPr>
              <w:jc w:val="center"/>
              <w:rPr>
                <w:rFonts w:asciiTheme="minorBidi" w:hAnsiTheme="minorBidi" w:cstheme="minorBidi"/>
                <w:bCs/>
                <w:color w:val="000000" w:themeColor="text1"/>
                <w:sz w:val="28"/>
                <w:szCs w:val="28"/>
              </w:rPr>
            </w:pPr>
            <w:r w:rsidRPr="00BA775B">
              <w:rPr>
                <w:rFonts w:asciiTheme="minorBidi" w:hAnsiTheme="minorBidi" w:cstheme="minorBidi"/>
                <w:bCs/>
                <w:color w:val="000000" w:themeColor="text1"/>
                <w:sz w:val="28"/>
                <w:szCs w:val="28"/>
              </w:rPr>
              <w:t>Intitulé du PN</w:t>
            </w:r>
          </w:p>
        </w:tc>
      </w:tr>
      <w:tr w:rsidR="00CB49AA" w:rsidRPr="0054747B" w:rsidTr="001501B9">
        <w:trPr>
          <w:trHeight w:val="570"/>
        </w:trPr>
        <w:tc>
          <w:tcPr>
            <w:tcW w:w="2235" w:type="dxa"/>
            <w:vAlign w:val="center"/>
          </w:tcPr>
          <w:p w:rsidR="00CB49AA" w:rsidRPr="00F8382E" w:rsidRDefault="00CB49AA" w:rsidP="0060329A">
            <w:pPr>
              <w:bidi/>
              <w:jc w:val="center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F8382E">
              <w:rPr>
                <w:rFonts w:asciiTheme="minorBidi" w:hAnsiTheme="minorBidi" w:cstheme="minorBidi"/>
                <w:sz w:val="24"/>
                <w:szCs w:val="24"/>
              </w:rPr>
              <w:t>PNA 25412</w:t>
            </w:r>
          </w:p>
        </w:tc>
        <w:tc>
          <w:tcPr>
            <w:tcW w:w="1842" w:type="dxa"/>
            <w:vAlign w:val="center"/>
          </w:tcPr>
          <w:p w:rsidR="00CB49AA" w:rsidRPr="00F8382E" w:rsidRDefault="00CB49AA" w:rsidP="0060329A">
            <w:pPr>
              <w:bidi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F8382E">
              <w:rPr>
                <w:rFonts w:asciiTheme="minorBidi" w:hAnsiTheme="minorBidi" w:cstheme="minorBidi"/>
                <w:bCs/>
                <w:sz w:val="24"/>
                <w:szCs w:val="24"/>
              </w:rPr>
              <w:t>ISO 3386-1: 2025</w:t>
            </w:r>
          </w:p>
        </w:tc>
        <w:tc>
          <w:tcPr>
            <w:tcW w:w="851" w:type="dxa"/>
          </w:tcPr>
          <w:p w:rsidR="00CB49AA" w:rsidRPr="00F8382E" w:rsidRDefault="00CB49AA" w:rsidP="009E68A5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CB49AA" w:rsidRPr="00F8382E" w:rsidRDefault="00CB49AA" w:rsidP="009E68A5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F8382E">
              <w:rPr>
                <w:rFonts w:asciiTheme="minorBidi" w:hAnsiTheme="minorBidi" w:cstheme="minorBidi"/>
                <w:sz w:val="24"/>
                <w:szCs w:val="24"/>
              </w:rPr>
              <w:t>IDT</w:t>
            </w:r>
          </w:p>
        </w:tc>
        <w:tc>
          <w:tcPr>
            <w:tcW w:w="1417" w:type="dxa"/>
          </w:tcPr>
          <w:p w:rsidR="00CB49AA" w:rsidRPr="00F8382E" w:rsidRDefault="00CB49AA" w:rsidP="009E68A5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CB49AA" w:rsidRPr="00F8382E" w:rsidRDefault="00CB49AA" w:rsidP="009E68A5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CB49AA" w:rsidRPr="00F8382E" w:rsidRDefault="00CB49AA" w:rsidP="009E68A5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CB49AA" w:rsidRPr="00F8382E" w:rsidRDefault="00CB49AA" w:rsidP="009E68A5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F8382E">
              <w:rPr>
                <w:rFonts w:asciiTheme="minorBidi" w:hAnsiTheme="minorBidi" w:cstheme="minorBidi"/>
                <w:sz w:val="24"/>
                <w:szCs w:val="24"/>
              </w:rPr>
              <w:t>83.100</w:t>
            </w:r>
          </w:p>
        </w:tc>
        <w:tc>
          <w:tcPr>
            <w:tcW w:w="3828" w:type="dxa"/>
            <w:vAlign w:val="center"/>
          </w:tcPr>
          <w:p w:rsidR="00CB49AA" w:rsidRPr="009E0303" w:rsidRDefault="00CB49AA" w:rsidP="0060329A">
            <w:pPr>
              <w:bidi/>
              <w:jc w:val="right"/>
              <w:rPr>
                <w:rFonts w:asciiTheme="minorBidi" w:hAnsiTheme="minorBidi" w:cstheme="minorBidi"/>
                <w:b/>
                <w:color w:val="000000" w:themeColor="text1"/>
                <w:sz w:val="24"/>
                <w:szCs w:val="24"/>
              </w:rPr>
            </w:pPr>
            <w:r w:rsidRPr="009E0303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Matériaux polymères alvéolaires souples — Détermination de la caractéristique de contrainte-déformation relative en compression — Partie 1: Matériaux à basse masse volumique</w:t>
            </w:r>
          </w:p>
        </w:tc>
      </w:tr>
      <w:tr w:rsidR="00CB49AA" w:rsidRPr="0054747B" w:rsidTr="001501B9">
        <w:trPr>
          <w:trHeight w:val="816"/>
        </w:trPr>
        <w:tc>
          <w:tcPr>
            <w:tcW w:w="2235" w:type="dxa"/>
            <w:vAlign w:val="center"/>
          </w:tcPr>
          <w:p w:rsidR="00CB49AA" w:rsidRPr="00F8382E" w:rsidRDefault="00CB49AA" w:rsidP="0060329A">
            <w:pPr>
              <w:bidi/>
              <w:jc w:val="center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F8382E">
              <w:rPr>
                <w:rFonts w:asciiTheme="minorBidi" w:hAnsiTheme="minorBidi" w:cstheme="minorBidi"/>
                <w:sz w:val="24"/>
                <w:szCs w:val="24"/>
              </w:rPr>
              <w:t>PNA 25413</w:t>
            </w:r>
          </w:p>
        </w:tc>
        <w:tc>
          <w:tcPr>
            <w:tcW w:w="1842" w:type="dxa"/>
            <w:vAlign w:val="center"/>
          </w:tcPr>
          <w:p w:rsidR="00CB49AA" w:rsidRPr="00F8382E" w:rsidRDefault="00CB49AA" w:rsidP="0060329A">
            <w:pPr>
              <w:bidi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F8382E">
              <w:rPr>
                <w:rFonts w:asciiTheme="minorBidi" w:hAnsiTheme="minorBidi" w:cstheme="minorBidi"/>
                <w:bCs/>
                <w:sz w:val="24"/>
                <w:szCs w:val="24"/>
              </w:rPr>
              <w:t>ISO 8331: 2016</w:t>
            </w:r>
          </w:p>
        </w:tc>
        <w:tc>
          <w:tcPr>
            <w:tcW w:w="851" w:type="dxa"/>
          </w:tcPr>
          <w:p w:rsidR="00CB49AA" w:rsidRPr="00F8382E" w:rsidRDefault="00CB49AA" w:rsidP="009E68A5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CB49AA" w:rsidRPr="00F8382E" w:rsidRDefault="00CB49AA" w:rsidP="009E68A5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F8382E">
              <w:rPr>
                <w:rFonts w:asciiTheme="minorBidi" w:hAnsiTheme="minorBidi" w:cstheme="minorBidi"/>
                <w:sz w:val="24"/>
                <w:szCs w:val="24"/>
              </w:rPr>
              <w:t>IDT</w:t>
            </w:r>
          </w:p>
        </w:tc>
        <w:tc>
          <w:tcPr>
            <w:tcW w:w="1417" w:type="dxa"/>
          </w:tcPr>
          <w:p w:rsidR="00F8382E" w:rsidRPr="00F8382E" w:rsidRDefault="00F8382E" w:rsidP="009E68A5">
            <w:pPr>
              <w:jc w:val="center"/>
            </w:pPr>
          </w:p>
          <w:p w:rsidR="00F8382E" w:rsidRPr="00F8382E" w:rsidRDefault="00F8382E" w:rsidP="009E68A5">
            <w:pPr>
              <w:jc w:val="center"/>
            </w:pPr>
          </w:p>
          <w:p w:rsidR="00CB49AA" w:rsidRPr="00F8382E" w:rsidRDefault="00F8382E" w:rsidP="009E68A5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hyperlink r:id="rId7" w:tooltip="Tuyaux et flexibles" w:history="1">
              <w:r w:rsidRPr="00F8382E">
                <w:rPr>
                  <w:rStyle w:val="Lienhypertexte"/>
                  <w:rFonts w:ascii="Arial" w:hAnsi="Arial" w:cs="Arial"/>
                  <w:color w:val="auto"/>
                  <w:sz w:val="25"/>
                  <w:szCs w:val="25"/>
                  <w:u w:val="none"/>
                  <w:shd w:val="clear" w:color="auto" w:fill="F4F3F3"/>
                </w:rPr>
                <w:t>23.040.70</w:t>
              </w:r>
            </w:hyperlink>
            <w:r w:rsidRPr="00F8382E">
              <w:rPr>
                <w:rFonts w:ascii="Arial" w:hAnsi="Arial" w:cs="Arial"/>
                <w:sz w:val="25"/>
                <w:szCs w:val="25"/>
                <w:shd w:val="clear" w:color="auto" w:fill="F4F3F3"/>
              </w:rPr>
              <w:t> </w:t>
            </w:r>
          </w:p>
        </w:tc>
        <w:tc>
          <w:tcPr>
            <w:tcW w:w="3828" w:type="dxa"/>
            <w:vAlign w:val="center"/>
          </w:tcPr>
          <w:p w:rsidR="00CB49AA" w:rsidRPr="009E0303" w:rsidRDefault="00CB49AA" w:rsidP="0060329A">
            <w:pPr>
              <w:bidi/>
              <w:jc w:val="right"/>
              <w:rPr>
                <w:rFonts w:asciiTheme="minorBidi" w:hAnsiTheme="minorBidi" w:cstheme="minorBidi"/>
                <w:b/>
                <w:color w:val="000000" w:themeColor="text1"/>
                <w:sz w:val="24"/>
                <w:szCs w:val="24"/>
              </w:rPr>
            </w:pPr>
            <w:r w:rsidRPr="009E0303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Tuyaux et flexibles en caoutchouc et en plastique — Lignes directrices pour la sélection, le stockage, l'utilisation et la maintenance</w:t>
            </w:r>
          </w:p>
        </w:tc>
      </w:tr>
      <w:tr w:rsidR="00CB49AA" w:rsidRPr="0054747B" w:rsidTr="001501B9">
        <w:trPr>
          <w:trHeight w:val="816"/>
        </w:trPr>
        <w:tc>
          <w:tcPr>
            <w:tcW w:w="2235" w:type="dxa"/>
            <w:vAlign w:val="center"/>
          </w:tcPr>
          <w:p w:rsidR="00CB49AA" w:rsidRPr="00F8382E" w:rsidRDefault="00CB49AA" w:rsidP="0060329A">
            <w:pPr>
              <w:bidi/>
              <w:jc w:val="center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F8382E">
              <w:rPr>
                <w:rFonts w:asciiTheme="minorBidi" w:hAnsiTheme="minorBidi" w:cstheme="minorBidi"/>
                <w:sz w:val="24"/>
                <w:szCs w:val="24"/>
              </w:rPr>
              <w:t>PNA 25415</w:t>
            </w:r>
          </w:p>
        </w:tc>
        <w:tc>
          <w:tcPr>
            <w:tcW w:w="1842" w:type="dxa"/>
            <w:vAlign w:val="center"/>
          </w:tcPr>
          <w:p w:rsidR="00CB49AA" w:rsidRPr="00F8382E" w:rsidRDefault="00CB49AA" w:rsidP="0060329A">
            <w:pPr>
              <w:bidi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F8382E">
              <w:rPr>
                <w:rFonts w:asciiTheme="minorBidi" w:hAnsiTheme="minorBidi" w:cstheme="minorBidi"/>
                <w:bCs/>
                <w:sz w:val="24"/>
                <w:szCs w:val="24"/>
              </w:rPr>
              <w:t>ISO 4097 :</w:t>
            </w:r>
            <w:r w:rsidR="00856015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</w:t>
            </w:r>
            <w:r w:rsidRPr="00F8382E">
              <w:rPr>
                <w:rFonts w:asciiTheme="minorBidi" w:hAnsiTheme="minorBidi" w:cstheme="minorBidi"/>
                <w:bCs/>
                <w:sz w:val="24"/>
                <w:szCs w:val="24"/>
              </w:rPr>
              <w:t>2020</w:t>
            </w:r>
          </w:p>
        </w:tc>
        <w:tc>
          <w:tcPr>
            <w:tcW w:w="851" w:type="dxa"/>
          </w:tcPr>
          <w:p w:rsidR="00CB49AA" w:rsidRPr="00F8382E" w:rsidRDefault="00CB49AA" w:rsidP="009E68A5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CB49AA" w:rsidRPr="00F8382E" w:rsidRDefault="00CB49AA" w:rsidP="009E68A5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F8382E">
              <w:rPr>
                <w:rFonts w:asciiTheme="minorBidi" w:hAnsiTheme="minorBidi" w:cstheme="minorBidi"/>
                <w:sz w:val="24"/>
                <w:szCs w:val="24"/>
              </w:rPr>
              <w:t>IDT</w:t>
            </w:r>
          </w:p>
        </w:tc>
        <w:tc>
          <w:tcPr>
            <w:tcW w:w="1417" w:type="dxa"/>
          </w:tcPr>
          <w:p w:rsidR="00CB49AA" w:rsidRPr="00F8382E" w:rsidRDefault="00F8382E" w:rsidP="009E68A5">
            <w:pPr>
              <w:jc w:val="center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</w:rPr>
            </w:pPr>
            <w:hyperlink r:id="rId8" w:tooltip="Élastomères" w:history="1">
              <w:r w:rsidRPr="00F8382E">
                <w:rPr>
                  <w:rStyle w:val="Lienhypertexte"/>
                  <w:rFonts w:ascii="Arial" w:hAnsi="Arial" w:cs="Arial"/>
                  <w:color w:val="auto"/>
                  <w:sz w:val="25"/>
                  <w:szCs w:val="25"/>
                  <w:u w:val="none"/>
                  <w:shd w:val="clear" w:color="auto" w:fill="F4F3F3"/>
                </w:rPr>
                <w:t>83.060</w:t>
              </w:r>
            </w:hyperlink>
            <w:r w:rsidRPr="00F8382E">
              <w:rPr>
                <w:rFonts w:ascii="Arial" w:hAnsi="Arial" w:cs="Arial"/>
                <w:sz w:val="25"/>
                <w:szCs w:val="25"/>
                <w:shd w:val="clear" w:color="auto" w:fill="F4F3F3"/>
              </w:rPr>
              <w:t> </w:t>
            </w:r>
          </w:p>
        </w:tc>
        <w:tc>
          <w:tcPr>
            <w:tcW w:w="3828" w:type="dxa"/>
            <w:vAlign w:val="center"/>
          </w:tcPr>
          <w:p w:rsidR="00CB49AA" w:rsidRPr="009E0303" w:rsidRDefault="00CB49AA" w:rsidP="0060329A">
            <w:pPr>
              <w:bidi/>
              <w:jc w:val="right"/>
              <w:rPr>
                <w:rFonts w:asciiTheme="minorBidi" w:hAnsiTheme="minorBidi" w:cstheme="minorBidi"/>
                <w:b/>
                <w:color w:val="000000" w:themeColor="text1"/>
                <w:sz w:val="24"/>
                <w:szCs w:val="24"/>
              </w:rPr>
            </w:pPr>
            <w:r w:rsidRPr="009E0303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Caoutchouc éthylène-propylène-diène (EPDM) — Méthode d'évaluation</w:t>
            </w:r>
          </w:p>
        </w:tc>
      </w:tr>
      <w:tr w:rsidR="00CB49AA" w:rsidRPr="0054747B" w:rsidTr="00CF6730">
        <w:trPr>
          <w:trHeight w:val="816"/>
        </w:trPr>
        <w:tc>
          <w:tcPr>
            <w:tcW w:w="2235" w:type="dxa"/>
            <w:vAlign w:val="center"/>
          </w:tcPr>
          <w:p w:rsidR="00CB49AA" w:rsidRPr="00F8382E" w:rsidRDefault="00CB49AA" w:rsidP="0060329A">
            <w:pPr>
              <w:bidi/>
              <w:jc w:val="center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F8382E">
              <w:rPr>
                <w:rFonts w:asciiTheme="minorBidi" w:hAnsiTheme="minorBidi" w:cstheme="minorBidi"/>
                <w:sz w:val="24"/>
                <w:szCs w:val="24"/>
              </w:rPr>
              <w:t>PNA 25416</w:t>
            </w:r>
          </w:p>
        </w:tc>
        <w:tc>
          <w:tcPr>
            <w:tcW w:w="1842" w:type="dxa"/>
            <w:vAlign w:val="center"/>
          </w:tcPr>
          <w:p w:rsidR="00CB49AA" w:rsidRPr="00F8382E" w:rsidRDefault="00CB49AA" w:rsidP="0060329A">
            <w:pPr>
              <w:bidi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hyperlink r:id="rId9" w:history="1">
              <w:r w:rsidRPr="00F8382E">
                <w:rPr>
                  <w:rStyle w:val="Lienhypertexte"/>
                  <w:rFonts w:asciiTheme="minorBidi" w:hAnsiTheme="minorBidi" w:cstheme="minorBidi"/>
                  <w:bCs/>
                  <w:color w:val="auto"/>
                  <w:sz w:val="24"/>
                  <w:szCs w:val="24"/>
                  <w:u w:val="none"/>
                </w:rPr>
                <w:t> ISO 3302-1: 2014</w:t>
              </w:r>
            </w:hyperlink>
          </w:p>
        </w:tc>
        <w:tc>
          <w:tcPr>
            <w:tcW w:w="851" w:type="dxa"/>
          </w:tcPr>
          <w:p w:rsidR="00CB49AA" w:rsidRPr="00F8382E" w:rsidRDefault="00CB49AA">
            <w:r w:rsidRPr="00F8382E">
              <w:rPr>
                <w:rFonts w:asciiTheme="minorBidi" w:hAnsiTheme="minorBidi" w:cstheme="minorBidi"/>
                <w:sz w:val="24"/>
                <w:szCs w:val="24"/>
              </w:rPr>
              <w:t>IDT</w:t>
            </w:r>
          </w:p>
        </w:tc>
        <w:tc>
          <w:tcPr>
            <w:tcW w:w="1417" w:type="dxa"/>
          </w:tcPr>
          <w:p w:rsidR="00CB49AA" w:rsidRPr="00F8382E" w:rsidRDefault="00F8382E">
            <w:r w:rsidRPr="00F8382E">
              <w:rPr>
                <w:rFonts w:ascii="Arial" w:hAnsi="Arial" w:cs="Arial"/>
                <w:sz w:val="25"/>
                <w:szCs w:val="25"/>
                <w:shd w:val="clear" w:color="auto" w:fill="F4F3F3"/>
              </w:rPr>
              <w:t> </w:t>
            </w:r>
            <w:hyperlink r:id="rId10" w:tooltip="Produits en élastomères ou en matières plastiques en général" w:history="1">
              <w:r w:rsidRPr="00F8382E">
                <w:rPr>
                  <w:rStyle w:val="Lienhypertexte"/>
                  <w:rFonts w:ascii="Arial" w:hAnsi="Arial" w:cs="Arial"/>
                  <w:color w:val="auto"/>
                  <w:sz w:val="25"/>
                  <w:szCs w:val="25"/>
                  <w:u w:val="none"/>
                  <w:shd w:val="clear" w:color="auto" w:fill="F4F3F3"/>
                </w:rPr>
                <w:t>83.140.01</w:t>
              </w:r>
            </w:hyperlink>
            <w:r w:rsidRPr="00F8382E">
              <w:rPr>
                <w:rStyle w:val="entry-name"/>
                <w:rFonts w:ascii="Arial" w:hAnsi="Arial" w:cs="Arial"/>
                <w:sz w:val="25"/>
                <w:szCs w:val="25"/>
                <w:shd w:val="clear" w:color="auto" w:fill="F4F3F3"/>
              </w:rPr>
              <w:t> </w:t>
            </w:r>
          </w:p>
        </w:tc>
        <w:tc>
          <w:tcPr>
            <w:tcW w:w="3828" w:type="dxa"/>
            <w:vAlign w:val="center"/>
          </w:tcPr>
          <w:p w:rsidR="00CB49AA" w:rsidRPr="009E0303" w:rsidRDefault="00CB49AA" w:rsidP="0060329A">
            <w:pPr>
              <w:bidi/>
              <w:jc w:val="right"/>
              <w:rPr>
                <w:rFonts w:asciiTheme="minorBidi" w:hAnsiTheme="minorBidi" w:cstheme="minorBidi"/>
                <w:b/>
                <w:color w:val="000000" w:themeColor="text1"/>
                <w:sz w:val="24"/>
                <w:szCs w:val="24"/>
              </w:rPr>
            </w:pPr>
            <w:r w:rsidRPr="009E0303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Caoutchouc — Tolérances pour produits — Partie 1: Tolérances dimensionnelles</w:t>
            </w:r>
          </w:p>
        </w:tc>
      </w:tr>
      <w:tr w:rsidR="00CB49AA" w:rsidRPr="0054747B" w:rsidTr="00CF6730">
        <w:trPr>
          <w:trHeight w:val="816"/>
        </w:trPr>
        <w:tc>
          <w:tcPr>
            <w:tcW w:w="2235" w:type="dxa"/>
            <w:vAlign w:val="center"/>
          </w:tcPr>
          <w:p w:rsidR="00CB49AA" w:rsidRPr="00F8382E" w:rsidRDefault="00CB49AA" w:rsidP="0060329A">
            <w:pPr>
              <w:bidi/>
              <w:jc w:val="center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F8382E">
              <w:rPr>
                <w:rFonts w:asciiTheme="minorBidi" w:hAnsiTheme="minorBidi" w:cstheme="minorBidi"/>
                <w:sz w:val="24"/>
                <w:szCs w:val="24"/>
              </w:rPr>
              <w:t>PNA 25417</w:t>
            </w:r>
          </w:p>
        </w:tc>
        <w:tc>
          <w:tcPr>
            <w:tcW w:w="1842" w:type="dxa"/>
            <w:vAlign w:val="center"/>
          </w:tcPr>
          <w:p w:rsidR="00CB49AA" w:rsidRPr="00F8382E" w:rsidRDefault="00CB49AA" w:rsidP="0060329A">
            <w:pPr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hyperlink r:id="rId11" w:history="1">
              <w:r w:rsidRPr="00F8382E">
                <w:rPr>
                  <w:rStyle w:val="Lienhypertexte"/>
                  <w:rFonts w:asciiTheme="minorBidi" w:hAnsiTheme="minorBidi" w:cstheme="minorBidi"/>
                  <w:bCs/>
                  <w:color w:val="auto"/>
                  <w:sz w:val="24"/>
                  <w:szCs w:val="24"/>
                  <w:u w:val="none"/>
                </w:rPr>
                <w:t> ISO 3302-2: 2022</w:t>
              </w:r>
            </w:hyperlink>
          </w:p>
          <w:p w:rsidR="00CB49AA" w:rsidRPr="00F8382E" w:rsidRDefault="00CB49AA" w:rsidP="0060329A">
            <w:pPr>
              <w:bidi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CB49AA" w:rsidRPr="00F8382E" w:rsidRDefault="00CB49AA">
            <w:r w:rsidRPr="00F8382E">
              <w:rPr>
                <w:rFonts w:asciiTheme="minorBidi" w:hAnsiTheme="minorBidi" w:cstheme="minorBidi"/>
                <w:sz w:val="24"/>
                <w:szCs w:val="24"/>
              </w:rPr>
              <w:t>IDT</w:t>
            </w:r>
          </w:p>
        </w:tc>
        <w:tc>
          <w:tcPr>
            <w:tcW w:w="1417" w:type="dxa"/>
          </w:tcPr>
          <w:p w:rsidR="00CB49AA" w:rsidRPr="00F8382E" w:rsidRDefault="00F8382E">
            <w:hyperlink r:id="rId12" w:tooltip="Produits en élastomères ou en matières plastiques en général" w:history="1">
              <w:r w:rsidRPr="00F8382E">
                <w:rPr>
                  <w:rStyle w:val="Lienhypertexte"/>
                  <w:rFonts w:ascii="Arial" w:hAnsi="Arial" w:cs="Arial"/>
                  <w:color w:val="auto"/>
                  <w:sz w:val="25"/>
                  <w:szCs w:val="25"/>
                  <w:u w:val="none"/>
                  <w:shd w:val="clear" w:color="auto" w:fill="F4F3F3"/>
                </w:rPr>
                <w:t>83.140.01</w:t>
              </w:r>
            </w:hyperlink>
            <w:r w:rsidRPr="00F8382E">
              <w:rPr>
                <w:rFonts w:ascii="Arial" w:hAnsi="Arial" w:cs="Arial"/>
                <w:sz w:val="25"/>
                <w:szCs w:val="25"/>
                <w:shd w:val="clear" w:color="auto" w:fill="F4F3F3"/>
              </w:rPr>
              <w:t> </w:t>
            </w:r>
          </w:p>
        </w:tc>
        <w:tc>
          <w:tcPr>
            <w:tcW w:w="3828" w:type="dxa"/>
            <w:vAlign w:val="center"/>
          </w:tcPr>
          <w:p w:rsidR="00CB49AA" w:rsidRPr="009E0303" w:rsidRDefault="00CB49AA" w:rsidP="0060329A">
            <w:pPr>
              <w:bidi/>
              <w:jc w:val="right"/>
              <w:rPr>
                <w:rFonts w:asciiTheme="minorBidi" w:hAnsiTheme="minorBidi" w:cstheme="minorBidi"/>
                <w:b/>
                <w:color w:val="000000" w:themeColor="text1"/>
                <w:sz w:val="24"/>
                <w:szCs w:val="24"/>
              </w:rPr>
            </w:pPr>
            <w:r w:rsidRPr="009E0303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Caoutchouc — Tolérances pour produits — Partie 2: Tolérances géométriques</w:t>
            </w:r>
          </w:p>
        </w:tc>
      </w:tr>
    </w:tbl>
    <w:p w:rsidR="009E3E7C" w:rsidRDefault="009E3E7C" w:rsidP="00262564">
      <w:pPr>
        <w:rPr>
          <w:rFonts w:ascii="Arial" w:hAnsi="Arial"/>
          <w:b/>
          <w:bCs/>
        </w:rPr>
      </w:pPr>
    </w:p>
    <w:sectPr w:rsidR="009E3E7C" w:rsidSect="00506C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E78" w:rsidRDefault="003D6E78" w:rsidP="00A95B30">
      <w:r>
        <w:separator/>
      </w:r>
    </w:p>
  </w:endnote>
  <w:endnote w:type="continuationSeparator" w:id="1">
    <w:p w:rsidR="003D6E78" w:rsidRDefault="003D6E78" w:rsidP="00A95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E78" w:rsidRDefault="003D6E78" w:rsidP="00A95B30">
      <w:r>
        <w:separator/>
      </w:r>
    </w:p>
  </w:footnote>
  <w:footnote w:type="continuationSeparator" w:id="1">
    <w:p w:rsidR="003D6E78" w:rsidRDefault="003D6E78" w:rsidP="00A95B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8A6"/>
    <w:rsid w:val="000055A4"/>
    <w:rsid w:val="00053CAB"/>
    <w:rsid w:val="000560A8"/>
    <w:rsid w:val="000764F4"/>
    <w:rsid w:val="000877BC"/>
    <w:rsid w:val="000B4A52"/>
    <w:rsid w:val="000B4AC2"/>
    <w:rsid w:val="000B6244"/>
    <w:rsid w:val="000C54D9"/>
    <w:rsid w:val="000D087B"/>
    <w:rsid w:val="000D3CB0"/>
    <w:rsid w:val="000D3DC3"/>
    <w:rsid w:val="000D5DE1"/>
    <w:rsid w:val="001100C8"/>
    <w:rsid w:val="00110A67"/>
    <w:rsid w:val="0013335B"/>
    <w:rsid w:val="00145697"/>
    <w:rsid w:val="001620F5"/>
    <w:rsid w:val="001674E4"/>
    <w:rsid w:val="00171A05"/>
    <w:rsid w:val="00172290"/>
    <w:rsid w:val="00183891"/>
    <w:rsid w:val="001A717F"/>
    <w:rsid w:val="001B137F"/>
    <w:rsid w:val="001B2F7A"/>
    <w:rsid w:val="001B6249"/>
    <w:rsid w:val="001D0EA0"/>
    <w:rsid w:val="001D2044"/>
    <w:rsid w:val="001D33CB"/>
    <w:rsid w:val="001F223F"/>
    <w:rsid w:val="00205B7C"/>
    <w:rsid w:val="00217435"/>
    <w:rsid w:val="002204ED"/>
    <w:rsid w:val="002279B4"/>
    <w:rsid w:val="002570FA"/>
    <w:rsid w:val="00262564"/>
    <w:rsid w:val="0026568F"/>
    <w:rsid w:val="00272EEF"/>
    <w:rsid w:val="002B571E"/>
    <w:rsid w:val="002E4F87"/>
    <w:rsid w:val="00303AE7"/>
    <w:rsid w:val="00312924"/>
    <w:rsid w:val="00325CA3"/>
    <w:rsid w:val="00353C7C"/>
    <w:rsid w:val="00362F12"/>
    <w:rsid w:val="003815D0"/>
    <w:rsid w:val="00392FDE"/>
    <w:rsid w:val="003A5DA4"/>
    <w:rsid w:val="003B4AB5"/>
    <w:rsid w:val="003B5DBE"/>
    <w:rsid w:val="003C16E1"/>
    <w:rsid w:val="003D5C07"/>
    <w:rsid w:val="003D6E78"/>
    <w:rsid w:val="003E75CB"/>
    <w:rsid w:val="003F7AD8"/>
    <w:rsid w:val="00421DE6"/>
    <w:rsid w:val="004608F2"/>
    <w:rsid w:val="00460E93"/>
    <w:rsid w:val="004870C0"/>
    <w:rsid w:val="0049231B"/>
    <w:rsid w:val="004B0131"/>
    <w:rsid w:val="004B45E8"/>
    <w:rsid w:val="004E041F"/>
    <w:rsid w:val="004F4153"/>
    <w:rsid w:val="005004FF"/>
    <w:rsid w:val="0050151E"/>
    <w:rsid w:val="00501F5A"/>
    <w:rsid w:val="0050561C"/>
    <w:rsid w:val="00506C12"/>
    <w:rsid w:val="0050757E"/>
    <w:rsid w:val="00513DCB"/>
    <w:rsid w:val="00521FC3"/>
    <w:rsid w:val="005263D1"/>
    <w:rsid w:val="00534942"/>
    <w:rsid w:val="0054747B"/>
    <w:rsid w:val="00547E15"/>
    <w:rsid w:val="00557BB6"/>
    <w:rsid w:val="00590379"/>
    <w:rsid w:val="005B0971"/>
    <w:rsid w:val="005B135F"/>
    <w:rsid w:val="005B42D7"/>
    <w:rsid w:val="005D627B"/>
    <w:rsid w:val="00600ABA"/>
    <w:rsid w:val="00616AF5"/>
    <w:rsid w:val="006220C9"/>
    <w:rsid w:val="0062320B"/>
    <w:rsid w:val="006779EC"/>
    <w:rsid w:val="00683B8E"/>
    <w:rsid w:val="00695355"/>
    <w:rsid w:val="006B3C77"/>
    <w:rsid w:val="006F228E"/>
    <w:rsid w:val="00714D23"/>
    <w:rsid w:val="007431A1"/>
    <w:rsid w:val="00770BF7"/>
    <w:rsid w:val="00775754"/>
    <w:rsid w:val="007806F7"/>
    <w:rsid w:val="00787AD8"/>
    <w:rsid w:val="00793CCF"/>
    <w:rsid w:val="007B1F19"/>
    <w:rsid w:val="007C0EC7"/>
    <w:rsid w:val="007C307B"/>
    <w:rsid w:val="007C5A68"/>
    <w:rsid w:val="007D09A2"/>
    <w:rsid w:val="007D35A0"/>
    <w:rsid w:val="007D3930"/>
    <w:rsid w:val="007F53A1"/>
    <w:rsid w:val="0080316A"/>
    <w:rsid w:val="00804A93"/>
    <w:rsid w:val="00822058"/>
    <w:rsid w:val="008318B6"/>
    <w:rsid w:val="00833CDC"/>
    <w:rsid w:val="00840A7E"/>
    <w:rsid w:val="00850EF8"/>
    <w:rsid w:val="00853E08"/>
    <w:rsid w:val="00856015"/>
    <w:rsid w:val="00861160"/>
    <w:rsid w:val="00864B93"/>
    <w:rsid w:val="008724F4"/>
    <w:rsid w:val="00882B93"/>
    <w:rsid w:val="00895A15"/>
    <w:rsid w:val="008B0022"/>
    <w:rsid w:val="008B0103"/>
    <w:rsid w:val="008B675F"/>
    <w:rsid w:val="008C6636"/>
    <w:rsid w:val="008E0713"/>
    <w:rsid w:val="008E74BE"/>
    <w:rsid w:val="008F3A48"/>
    <w:rsid w:val="00910B04"/>
    <w:rsid w:val="00916E32"/>
    <w:rsid w:val="009240B2"/>
    <w:rsid w:val="00942851"/>
    <w:rsid w:val="00947F38"/>
    <w:rsid w:val="00951C38"/>
    <w:rsid w:val="00963470"/>
    <w:rsid w:val="00971EA7"/>
    <w:rsid w:val="009831DB"/>
    <w:rsid w:val="009832EC"/>
    <w:rsid w:val="00991492"/>
    <w:rsid w:val="00991785"/>
    <w:rsid w:val="00996340"/>
    <w:rsid w:val="00997740"/>
    <w:rsid w:val="009A3E1E"/>
    <w:rsid w:val="009B29AE"/>
    <w:rsid w:val="009C25D5"/>
    <w:rsid w:val="009E1CE0"/>
    <w:rsid w:val="009E3E7C"/>
    <w:rsid w:val="009E4980"/>
    <w:rsid w:val="009F56F1"/>
    <w:rsid w:val="009F6A96"/>
    <w:rsid w:val="00A11943"/>
    <w:rsid w:val="00A15670"/>
    <w:rsid w:val="00A15FEE"/>
    <w:rsid w:val="00A24F24"/>
    <w:rsid w:val="00A44E9A"/>
    <w:rsid w:val="00A5318B"/>
    <w:rsid w:val="00A6307E"/>
    <w:rsid w:val="00A95B30"/>
    <w:rsid w:val="00AA2286"/>
    <w:rsid w:val="00AB3B67"/>
    <w:rsid w:val="00AB694F"/>
    <w:rsid w:val="00AE16B0"/>
    <w:rsid w:val="00AF27DC"/>
    <w:rsid w:val="00B019CD"/>
    <w:rsid w:val="00B03D26"/>
    <w:rsid w:val="00B301AF"/>
    <w:rsid w:val="00B302A2"/>
    <w:rsid w:val="00B453C3"/>
    <w:rsid w:val="00B51A65"/>
    <w:rsid w:val="00B5361A"/>
    <w:rsid w:val="00B55228"/>
    <w:rsid w:val="00B7185E"/>
    <w:rsid w:val="00B802FF"/>
    <w:rsid w:val="00B86313"/>
    <w:rsid w:val="00B955A1"/>
    <w:rsid w:val="00B96324"/>
    <w:rsid w:val="00BA775B"/>
    <w:rsid w:val="00BB067E"/>
    <w:rsid w:val="00BC2AE8"/>
    <w:rsid w:val="00BC2F92"/>
    <w:rsid w:val="00BC53BB"/>
    <w:rsid w:val="00BC6202"/>
    <w:rsid w:val="00BD60EA"/>
    <w:rsid w:val="00BF674E"/>
    <w:rsid w:val="00C0179E"/>
    <w:rsid w:val="00C01F7D"/>
    <w:rsid w:val="00C92734"/>
    <w:rsid w:val="00C92B30"/>
    <w:rsid w:val="00C97F7D"/>
    <w:rsid w:val="00CA37AB"/>
    <w:rsid w:val="00CB49AA"/>
    <w:rsid w:val="00CC604A"/>
    <w:rsid w:val="00CE5F97"/>
    <w:rsid w:val="00CF2F62"/>
    <w:rsid w:val="00D02EC2"/>
    <w:rsid w:val="00D06149"/>
    <w:rsid w:val="00D112B9"/>
    <w:rsid w:val="00D13C94"/>
    <w:rsid w:val="00D21BBA"/>
    <w:rsid w:val="00D2614F"/>
    <w:rsid w:val="00D44D98"/>
    <w:rsid w:val="00D540FE"/>
    <w:rsid w:val="00D54262"/>
    <w:rsid w:val="00D565E3"/>
    <w:rsid w:val="00D76B48"/>
    <w:rsid w:val="00D8113D"/>
    <w:rsid w:val="00D83286"/>
    <w:rsid w:val="00DC12BA"/>
    <w:rsid w:val="00DD7AE5"/>
    <w:rsid w:val="00DE1991"/>
    <w:rsid w:val="00DF1C4B"/>
    <w:rsid w:val="00DF3558"/>
    <w:rsid w:val="00DF4E6B"/>
    <w:rsid w:val="00E006B6"/>
    <w:rsid w:val="00E3202E"/>
    <w:rsid w:val="00E52360"/>
    <w:rsid w:val="00E83BEB"/>
    <w:rsid w:val="00E84D82"/>
    <w:rsid w:val="00EA18C0"/>
    <w:rsid w:val="00EA5CBF"/>
    <w:rsid w:val="00EB6C11"/>
    <w:rsid w:val="00EC316B"/>
    <w:rsid w:val="00EC6C6C"/>
    <w:rsid w:val="00ED2C77"/>
    <w:rsid w:val="00EE0458"/>
    <w:rsid w:val="00EF0413"/>
    <w:rsid w:val="00EF0EB2"/>
    <w:rsid w:val="00F074FE"/>
    <w:rsid w:val="00F14983"/>
    <w:rsid w:val="00F36DD1"/>
    <w:rsid w:val="00F36E20"/>
    <w:rsid w:val="00F63B35"/>
    <w:rsid w:val="00F72394"/>
    <w:rsid w:val="00F7732B"/>
    <w:rsid w:val="00F8382E"/>
    <w:rsid w:val="00FA121A"/>
    <w:rsid w:val="00FA78A6"/>
    <w:rsid w:val="00FB1081"/>
    <w:rsid w:val="00FB1BD5"/>
    <w:rsid w:val="00FC3568"/>
    <w:rsid w:val="00FC6554"/>
    <w:rsid w:val="00FF5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392FDE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uiPriority w:val="22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uiPriority w:val="9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B137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 w:cs="Arial"/>
      <w:sz w:val="22"/>
      <w:szCs w:val="22"/>
      <w:lang w:eastAsia="en-US"/>
    </w:rPr>
  </w:style>
  <w:style w:type="paragraph" w:customStyle="1" w:styleId="Pa0">
    <w:name w:val="Pa0"/>
    <w:basedOn w:val="Normal"/>
    <w:next w:val="Normal"/>
    <w:uiPriority w:val="99"/>
    <w:rsid w:val="00521FC3"/>
    <w:pPr>
      <w:overflowPunct/>
      <w:spacing w:line="360" w:lineRule="atLeast"/>
      <w:textAlignment w:val="auto"/>
    </w:pPr>
    <w:rPr>
      <w:rFonts w:ascii="Cambria" w:eastAsia="Calibri" w:hAnsi="Cambria" w:cs="Arial"/>
      <w:sz w:val="24"/>
      <w:szCs w:val="24"/>
    </w:rPr>
  </w:style>
  <w:style w:type="paragraph" w:customStyle="1" w:styleId="normal0">
    <w:name w:val="normal"/>
    <w:rsid w:val="00DD7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392FDE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efault">
    <w:name w:val="Default"/>
    <w:qFormat/>
    <w:rsid w:val="00392FDE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fr-FR"/>
    </w:rPr>
  </w:style>
  <w:style w:type="character" w:customStyle="1" w:styleId="entry-name">
    <w:name w:val="entry-name"/>
    <w:basedOn w:val="Policepardfaut"/>
    <w:rsid w:val="009240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uiPriority w:val="22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uiPriority w:val="9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B137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 w:cs="Arial"/>
      <w:sz w:val="22"/>
      <w:szCs w:val="22"/>
      <w:lang w:eastAsia="en-US"/>
    </w:rPr>
  </w:style>
  <w:style w:type="paragraph" w:customStyle="1" w:styleId="Pa0">
    <w:name w:val="Pa0"/>
    <w:basedOn w:val="Normal"/>
    <w:next w:val="Normal"/>
    <w:uiPriority w:val="99"/>
    <w:rsid w:val="00521FC3"/>
    <w:pPr>
      <w:overflowPunct/>
      <w:spacing w:line="360" w:lineRule="atLeast"/>
      <w:textAlignment w:val="auto"/>
    </w:pPr>
    <w:rPr>
      <w:rFonts w:ascii="Cambria" w:eastAsia="Calibri" w:hAnsi="Cambria" w:cs="Arial"/>
      <w:sz w:val="24"/>
      <w:szCs w:val="24"/>
    </w:rPr>
  </w:style>
  <w:style w:type="paragraph" w:customStyle="1" w:styleId="normal0">
    <w:name w:val="normal"/>
    <w:rsid w:val="00DD7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o.org/fr/ics/83.060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so.org/fr/ics/23.040.70.html" TargetMode="External"/><Relationship Id="rId12" Type="http://schemas.openxmlformats.org/officeDocument/2006/relationships/hyperlink" Target="https://www.iso.org/fr/ics/83.140.01.html" TargetMode="External"/><Relationship Id="rId2" Type="http://schemas.openxmlformats.org/officeDocument/2006/relationships/styles" Target="styles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so.org/fr/standard/84074.html?browse=tc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iso.org/fr/ics/83.140.0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so.org/fr/standard/62492.html?browse=t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F6D0F-C2B6-42BD-B9C6-770D578A3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ianor</cp:lastModifiedBy>
  <cp:revision>2</cp:revision>
  <cp:lastPrinted>2016-06-21T09:55:00Z</cp:lastPrinted>
  <dcterms:created xsi:type="dcterms:W3CDTF">2026-05-14T12:58:00Z</dcterms:created>
  <dcterms:modified xsi:type="dcterms:W3CDTF">2026-05-14T12:58:00Z</dcterms:modified>
</cp:coreProperties>
</file>