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30" w:rsidRPr="00D13C94" w:rsidRDefault="00A95B30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5263D1" w:rsidP="00B302A2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DEPARTEMENT CHIMIE 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CC604A" w:rsidRDefault="00CC604A" w:rsidP="00262564">
      <w:pPr>
        <w:rPr>
          <w:rFonts w:ascii="Arial" w:hAnsi="Arial"/>
          <w:b/>
          <w:bCs/>
        </w:rPr>
      </w:pPr>
    </w:p>
    <w:p w:rsidR="009E3E7C" w:rsidRPr="00BA775B" w:rsidRDefault="009E3E7C" w:rsidP="009E3E7C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BA775B">
        <w:rPr>
          <w:rFonts w:ascii="Arial" w:hAnsi="Arial" w:cs="Arial"/>
          <w:b/>
          <w:color w:val="000000" w:themeColor="text1"/>
          <w:sz w:val="28"/>
          <w:szCs w:val="28"/>
        </w:rPr>
        <w:t>CTN 56</w:t>
      </w:r>
      <w:r w:rsidRPr="00BA775B"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Pr="00BA775B">
        <w:rPr>
          <w:rFonts w:ascii="Arial" w:hAnsi="Arial" w:cs="Arial"/>
          <w:b/>
          <w:color w:val="000000" w:themeColor="text1"/>
          <w:sz w:val="28"/>
          <w:szCs w:val="28"/>
        </w:rPr>
        <w:t xml:space="preserve">CAOUATCHOUC </w:t>
      </w:r>
      <w:r w:rsidRPr="00BA775B">
        <w:rPr>
          <w:rFonts w:ascii="Arial" w:hAnsi="Arial" w:cs="Arial"/>
          <w:bCs/>
          <w:color w:val="000000" w:themeColor="text1"/>
          <w:sz w:val="28"/>
          <w:szCs w:val="28"/>
        </w:rPr>
        <w:t>(Normes en enquête publique)</w:t>
      </w:r>
    </w:p>
    <w:p w:rsidR="009E3E7C" w:rsidRPr="00BA775B" w:rsidRDefault="009E3E7C" w:rsidP="009E3E7C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BA775B">
        <w:rPr>
          <w:rFonts w:ascii="Arial" w:hAnsi="Arial" w:cs="Arial"/>
          <w:bCs/>
          <w:color w:val="000000" w:themeColor="text1"/>
          <w:sz w:val="28"/>
          <w:szCs w:val="28"/>
        </w:rPr>
        <w:t>Début de l’enquête :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31/03</w:t>
      </w:r>
      <w:r w:rsidRPr="00BA775B">
        <w:rPr>
          <w:rFonts w:ascii="Arial" w:hAnsi="Arial" w:cs="Arial"/>
          <w:bCs/>
          <w:color w:val="000000" w:themeColor="text1"/>
          <w:sz w:val="28"/>
          <w:szCs w:val="28"/>
        </w:rPr>
        <w:t>/202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6</w:t>
      </w:r>
      <w:r w:rsidRPr="00BA775B">
        <w:rPr>
          <w:rFonts w:ascii="Arial" w:hAnsi="Arial" w:cs="Arial"/>
          <w:bCs/>
          <w:color w:val="000000" w:themeColor="text1"/>
          <w:sz w:val="28"/>
          <w:szCs w:val="28"/>
        </w:rPr>
        <w:t xml:space="preserve">             fin de l’enquête </w:t>
      </w:r>
      <w:r w:rsidR="00942851" w:rsidRPr="00BA775B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942851">
        <w:rPr>
          <w:rFonts w:ascii="Arial" w:hAnsi="Arial" w:cs="Arial"/>
          <w:bCs/>
          <w:color w:val="000000" w:themeColor="text1"/>
          <w:sz w:val="28"/>
          <w:szCs w:val="28"/>
        </w:rPr>
        <w:t xml:space="preserve"> 30</w:t>
      </w:r>
      <w:r w:rsidRPr="00BA775B">
        <w:rPr>
          <w:rFonts w:ascii="Arial" w:hAnsi="Arial" w:cs="Arial"/>
          <w:bCs/>
          <w:color w:val="000000" w:themeColor="text1"/>
          <w:sz w:val="28"/>
          <w:szCs w:val="28"/>
        </w:rPr>
        <w:t>/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05</w:t>
      </w:r>
      <w:r w:rsidRPr="00BA775B">
        <w:rPr>
          <w:rFonts w:ascii="Arial" w:hAnsi="Arial" w:cs="Arial"/>
          <w:bCs/>
          <w:color w:val="000000" w:themeColor="text1"/>
          <w:sz w:val="28"/>
          <w:szCs w:val="28"/>
        </w:rPr>
        <w:t>/202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6</w:t>
      </w:r>
    </w:p>
    <w:p w:rsidR="00CC604A" w:rsidRDefault="00CC604A" w:rsidP="00262564">
      <w:pPr>
        <w:rPr>
          <w:rFonts w:ascii="Arial" w:hAnsi="Arial"/>
          <w:b/>
          <w:bCs/>
        </w:rPr>
      </w:pPr>
    </w:p>
    <w:p w:rsidR="00CC604A" w:rsidRDefault="00CC604A" w:rsidP="00262564">
      <w:pPr>
        <w:rPr>
          <w:rFonts w:ascii="Arial" w:hAnsi="Arial"/>
          <w:b/>
          <w:bCs/>
        </w:rPr>
      </w:pPr>
    </w:p>
    <w:p w:rsidR="00CC604A" w:rsidRDefault="00CC604A" w:rsidP="00262564">
      <w:pPr>
        <w:rPr>
          <w:rFonts w:ascii="Arial" w:hAnsi="Arial"/>
          <w:b/>
          <w:bCs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2235"/>
        <w:gridCol w:w="1842"/>
        <w:gridCol w:w="851"/>
        <w:gridCol w:w="1417"/>
        <w:gridCol w:w="3828"/>
      </w:tblGrid>
      <w:tr w:rsidR="009E3E7C" w:rsidRPr="00BA775B" w:rsidTr="009E68A5">
        <w:trPr>
          <w:trHeight w:val="570"/>
        </w:trPr>
        <w:tc>
          <w:tcPr>
            <w:tcW w:w="2235" w:type="dxa"/>
            <w:shd w:val="clear" w:color="auto" w:fill="DDD9C3" w:themeFill="background2" w:themeFillShade="E6"/>
            <w:vAlign w:val="center"/>
          </w:tcPr>
          <w:p w:rsidR="009E3E7C" w:rsidRPr="00BA775B" w:rsidRDefault="009E3E7C" w:rsidP="009E68A5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</w:pPr>
            <w:r w:rsidRPr="00BA775B"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  <w:t>Référence</w:t>
            </w:r>
          </w:p>
          <w:p w:rsidR="009E3E7C" w:rsidRPr="00BA775B" w:rsidRDefault="009E3E7C" w:rsidP="009E68A5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</w:pPr>
            <w:r w:rsidRPr="00BA775B"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  <w:t>Du PN</w:t>
            </w: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:rsidR="009E3E7C" w:rsidRPr="00BA775B" w:rsidRDefault="009E3E7C" w:rsidP="009E68A5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</w:pPr>
            <w:r w:rsidRPr="00BA775B"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  <w:t>Source</w:t>
            </w:r>
          </w:p>
          <w:p w:rsidR="009E3E7C" w:rsidRPr="00BA775B" w:rsidRDefault="009E3E7C" w:rsidP="009E68A5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</w:pPr>
            <w:r w:rsidRPr="00BA775B"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  <w:t>Documentaire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:rsidR="009E3E7C" w:rsidRPr="00BA775B" w:rsidRDefault="009E3E7C" w:rsidP="009E68A5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</w:pPr>
            <w:r w:rsidRPr="00BA775B"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  <w:t>Parenté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:rsidR="009E3E7C" w:rsidRPr="00BA775B" w:rsidRDefault="009E3E7C" w:rsidP="009E68A5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</w:pPr>
            <w:r w:rsidRPr="00BA775B"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  <w:t>ICS</w:t>
            </w:r>
          </w:p>
        </w:tc>
        <w:tc>
          <w:tcPr>
            <w:tcW w:w="3828" w:type="dxa"/>
            <w:shd w:val="clear" w:color="auto" w:fill="DDD9C3" w:themeFill="background2" w:themeFillShade="E6"/>
            <w:vAlign w:val="center"/>
          </w:tcPr>
          <w:p w:rsidR="009E3E7C" w:rsidRPr="00BA775B" w:rsidRDefault="009E3E7C" w:rsidP="009E68A5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</w:pPr>
            <w:r w:rsidRPr="00BA775B"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  <w:t>Intitulé du PN</w:t>
            </w:r>
          </w:p>
        </w:tc>
      </w:tr>
      <w:tr w:rsidR="009E3E7C" w:rsidRPr="0054747B" w:rsidTr="009E68A5">
        <w:trPr>
          <w:trHeight w:val="570"/>
        </w:trPr>
        <w:tc>
          <w:tcPr>
            <w:tcW w:w="2235" w:type="dxa"/>
            <w:vAlign w:val="center"/>
          </w:tcPr>
          <w:p w:rsidR="009E3E7C" w:rsidRPr="004B45E8" w:rsidRDefault="009E3E7C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B45E8">
              <w:rPr>
                <w:rFonts w:asciiTheme="minorBidi" w:hAnsiTheme="minorBidi" w:cstheme="minorBidi"/>
                <w:sz w:val="24"/>
                <w:szCs w:val="24"/>
              </w:rPr>
              <w:t xml:space="preserve">PNA </w:t>
            </w:r>
            <w:r w:rsidRPr="004B45E8">
              <w:rPr>
                <w:rFonts w:ascii="Arial" w:hAnsi="Arial"/>
                <w:sz w:val="24"/>
                <w:szCs w:val="24"/>
              </w:rPr>
              <w:t>7572</w:t>
            </w:r>
          </w:p>
        </w:tc>
        <w:tc>
          <w:tcPr>
            <w:tcW w:w="1842" w:type="dxa"/>
          </w:tcPr>
          <w:p w:rsidR="009E3E7C" w:rsidRPr="004B45E8" w:rsidRDefault="009E3E7C" w:rsidP="009E3E7C">
            <w:pPr>
              <w:rPr>
                <w:rFonts w:ascii="Arial" w:hAnsi="Arial"/>
                <w:sz w:val="24"/>
                <w:szCs w:val="24"/>
              </w:rPr>
            </w:pPr>
            <w:r w:rsidRPr="004B45E8">
              <w:rPr>
                <w:rFonts w:ascii="Arial" w:hAnsi="Arial"/>
                <w:sz w:val="24"/>
                <w:szCs w:val="24"/>
              </w:rPr>
              <w:t>ISO 4649:2024</w:t>
            </w:r>
          </w:p>
          <w:p w:rsidR="009E3E7C" w:rsidRPr="004B45E8" w:rsidRDefault="009E3E7C" w:rsidP="009E68A5">
            <w:pPr>
              <w:rPr>
                <w:rFonts w:asciiTheme="minorBidi" w:hAnsiTheme="minorBidi" w:cstheme="minorBidi"/>
                <w:spacing w:val="-3"/>
                <w:sz w:val="24"/>
                <w:szCs w:val="24"/>
              </w:rPr>
            </w:pPr>
          </w:p>
        </w:tc>
        <w:tc>
          <w:tcPr>
            <w:tcW w:w="851" w:type="dxa"/>
          </w:tcPr>
          <w:p w:rsidR="009E3E7C" w:rsidRPr="004B45E8" w:rsidRDefault="009E3E7C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9E3E7C" w:rsidRPr="004B45E8" w:rsidRDefault="009E3E7C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B45E8">
              <w:rPr>
                <w:rFonts w:asciiTheme="minorBidi" w:hAnsiTheme="minorBidi" w:cstheme="minorBidi"/>
                <w:sz w:val="24"/>
                <w:szCs w:val="24"/>
              </w:rPr>
              <w:t>IDT</w:t>
            </w:r>
          </w:p>
        </w:tc>
        <w:tc>
          <w:tcPr>
            <w:tcW w:w="1417" w:type="dxa"/>
          </w:tcPr>
          <w:p w:rsidR="009E3E7C" w:rsidRPr="004B45E8" w:rsidRDefault="009E3E7C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9E3E7C" w:rsidRPr="004B45E8" w:rsidRDefault="00BD60EA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hyperlink r:id="rId7" w:tooltip="Élastomères" w:history="1">
              <w:r w:rsidR="009E3E7C" w:rsidRPr="004B45E8">
                <w:rPr>
                  <w:rStyle w:val="Lienhypertexte"/>
                  <w:rFonts w:asciiTheme="minorBidi" w:hAnsiTheme="minorBidi" w:cstheme="minorBidi"/>
                  <w:color w:val="auto"/>
                  <w:spacing w:val="-3"/>
                  <w:sz w:val="24"/>
                  <w:szCs w:val="24"/>
                  <w:u w:val="none"/>
                  <w:shd w:val="clear" w:color="auto" w:fill="F4F3F3"/>
                </w:rPr>
                <w:t>83.060</w:t>
              </w:r>
            </w:hyperlink>
            <w:r w:rsidR="009E3E7C" w:rsidRPr="004B45E8">
              <w:rPr>
                <w:rFonts w:asciiTheme="minorBidi" w:hAnsiTheme="minorBidi" w:cstheme="minorBidi"/>
                <w:spacing w:val="-3"/>
                <w:sz w:val="24"/>
                <w:szCs w:val="24"/>
                <w:shd w:val="clear" w:color="auto" w:fill="F4F3F3"/>
              </w:rPr>
              <w:t> </w:t>
            </w:r>
          </w:p>
        </w:tc>
        <w:tc>
          <w:tcPr>
            <w:tcW w:w="3828" w:type="dxa"/>
            <w:vAlign w:val="center"/>
          </w:tcPr>
          <w:p w:rsidR="009E3E7C" w:rsidRPr="0054747B" w:rsidRDefault="00BF674E" w:rsidP="009E68A5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BF58A1">
              <w:rPr>
                <w:rFonts w:ascii="Arial" w:hAnsi="Arial"/>
                <w:color w:val="000000"/>
                <w:sz w:val="24"/>
                <w:szCs w:val="24"/>
              </w:rPr>
              <w:t>Caoutchouc vulcanisé ou thermoplastique — Détermination de la résistance à l'abrasion à l'aide d'un dispositif à tambour tournant</w:t>
            </w:r>
            <w:r w:rsidRPr="0054747B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E3E7C" w:rsidRPr="0054747B" w:rsidTr="009E68A5">
        <w:trPr>
          <w:trHeight w:val="816"/>
        </w:trPr>
        <w:tc>
          <w:tcPr>
            <w:tcW w:w="2235" w:type="dxa"/>
            <w:vAlign w:val="center"/>
          </w:tcPr>
          <w:p w:rsidR="009E3E7C" w:rsidRPr="004B45E8" w:rsidRDefault="009E3E7C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B45E8">
              <w:rPr>
                <w:rFonts w:asciiTheme="minorBidi" w:hAnsiTheme="minorBidi" w:cstheme="minorBidi"/>
                <w:sz w:val="24"/>
                <w:szCs w:val="24"/>
              </w:rPr>
              <w:t>PNA</w:t>
            </w:r>
            <w:r w:rsidR="00BF674E" w:rsidRPr="004B45E8">
              <w:rPr>
                <w:rFonts w:ascii="Arial" w:hAnsi="Arial"/>
                <w:sz w:val="24"/>
                <w:szCs w:val="24"/>
              </w:rPr>
              <w:t>14745</w:t>
            </w:r>
          </w:p>
        </w:tc>
        <w:tc>
          <w:tcPr>
            <w:tcW w:w="1842" w:type="dxa"/>
          </w:tcPr>
          <w:p w:rsidR="009E3E7C" w:rsidRPr="004B45E8" w:rsidRDefault="00BF674E" w:rsidP="009E68A5">
            <w:pPr>
              <w:rPr>
                <w:rFonts w:asciiTheme="minorBidi" w:hAnsiTheme="minorBidi" w:cstheme="minorBidi"/>
                <w:spacing w:val="-3"/>
                <w:sz w:val="24"/>
                <w:szCs w:val="24"/>
              </w:rPr>
            </w:pPr>
            <w:r w:rsidRPr="004B45E8">
              <w:rPr>
                <w:rFonts w:ascii="Arial" w:hAnsi="Arial"/>
                <w:sz w:val="24"/>
                <w:szCs w:val="24"/>
              </w:rPr>
              <w:t>ISO 2398:2024</w:t>
            </w:r>
          </w:p>
        </w:tc>
        <w:tc>
          <w:tcPr>
            <w:tcW w:w="851" w:type="dxa"/>
          </w:tcPr>
          <w:p w:rsidR="009E3E7C" w:rsidRPr="004B45E8" w:rsidRDefault="009E3E7C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9E3E7C" w:rsidRPr="004B45E8" w:rsidRDefault="009E3E7C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B45E8">
              <w:rPr>
                <w:rFonts w:asciiTheme="minorBidi" w:hAnsiTheme="minorBidi" w:cstheme="minorBidi"/>
                <w:sz w:val="24"/>
                <w:szCs w:val="24"/>
              </w:rPr>
              <w:t>IDT</w:t>
            </w:r>
          </w:p>
        </w:tc>
        <w:tc>
          <w:tcPr>
            <w:tcW w:w="1417" w:type="dxa"/>
          </w:tcPr>
          <w:p w:rsidR="009E3E7C" w:rsidRPr="004B45E8" w:rsidRDefault="009E3E7C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9E3E7C" w:rsidRPr="004B45E8" w:rsidRDefault="009240B2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B45E8">
              <w:rPr>
                <w:rFonts w:ascii="Arial" w:hAnsi="Arial" w:cs="Arial"/>
                <w:sz w:val="25"/>
                <w:szCs w:val="25"/>
                <w:shd w:val="clear" w:color="auto" w:fill="F4F3F3"/>
              </w:rPr>
              <w:t> </w:t>
            </w:r>
            <w:hyperlink r:id="rId8" w:tooltip="Tuyaux et flexibles" w:history="1">
              <w:r w:rsidRPr="004B45E8">
                <w:rPr>
                  <w:rStyle w:val="Lienhypertexte"/>
                  <w:rFonts w:ascii="Arial" w:hAnsi="Arial" w:cs="Arial"/>
                  <w:color w:val="auto"/>
                  <w:sz w:val="25"/>
                  <w:szCs w:val="25"/>
                  <w:u w:val="none"/>
                  <w:shd w:val="clear" w:color="auto" w:fill="F4F3F3"/>
                </w:rPr>
                <w:t>23.040.70</w:t>
              </w:r>
            </w:hyperlink>
            <w:r w:rsidRPr="004B45E8">
              <w:rPr>
                <w:rStyle w:val="entry-name"/>
                <w:rFonts w:ascii="Arial" w:hAnsi="Arial" w:cs="Arial"/>
                <w:sz w:val="25"/>
                <w:szCs w:val="25"/>
                <w:shd w:val="clear" w:color="auto" w:fill="F4F3F3"/>
              </w:rPr>
              <w:t> </w:t>
            </w:r>
          </w:p>
        </w:tc>
        <w:tc>
          <w:tcPr>
            <w:tcW w:w="3828" w:type="dxa"/>
            <w:vAlign w:val="center"/>
          </w:tcPr>
          <w:p w:rsidR="009E3E7C" w:rsidRPr="0054747B" w:rsidRDefault="00BF674E" w:rsidP="009E68A5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BF58A1">
              <w:rPr>
                <w:rFonts w:ascii="Arial" w:hAnsi="Arial"/>
                <w:color w:val="000000"/>
                <w:sz w:val="24"/>
                <w:szCs w:val="24"/>
              </w:rPr>
              <w:t>Tuyaux en caoutchouc renforcés textile pour l'air comprimé — Spécification</w:t>
            </w:r>
          </w:p>
        </w:tc>
      </w:tr>
      <w:tr w:rsidR="009E3E7C" w:rsidRPr="0054747B" w:rsidTr="009E68A5">
        <w:trPr>
          <w:trHeight w:val="816"/>
        </w:trPr>
        <w:tc>
          <w:tcPr>
            <w:tcW w:w="2235" w:type="dxa"/>
            <w:vAlign w:val="center"/>
          </w:tcPr>
          <w:p w:rsidR="009E3E7C" w:rsidRPr="004B45E8" w:rsidRDefault="009E3E7C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B45E8">
              <w:rPr>
                <w:rFonts w:asciiTheme="minorBidi" w:hAnsiTheme="minorBidi" w:cstheme="minorBidi"/>
                <w:sz w:val="24"/>
                <w:szCs w:val="24"/>
              </w:rPr>
              <w:t xml:space="preserve">PNA </w:t>
            </w:r>
            <w:r w:rsidR="00BF674E" w:rsidRPr="004B45E8">
              <w:rPr>
                <w:rFonts w:ascii="Arial" w:hAnsi="Arial"/>
                <w:sz w:val="24"/>
                <w:szCs w:val="24"/>
              </w:rPr>
              <w:t>18948</w:t>
            </w:r>
          </w:p>
        </w:tc>
        <w:tc>
          <w:tcPr>
            <w:tcW w:w="1842" w:type="dxa"/>
          </w:tcPr>
          <w:p w:rsidR="009E3E7C" w:rsidRPr="004B45E8" w:rsidRDefault="00BF674E" w:rsidP="009E68A5">
            <w:pPr>
              <w:rPr>
                <w:rFonts w:asciiTheme="minorBidi" w:hAnsiTheme="minorBidi" w:cstheme="minorBidi"/>
                <w:spacing w:val="-3"/>
                <w:sz w:val="24"/>
                <w:szCs w:val="24"/>
              </w:rPr>
            </w:pPr>
            <w:r w:rsidRPr="004B45E8">
              <w:rPr>
                <w:rFonts w:ascii="Arial" w:hAnsi="Arial"/>
                <w:sz w:val="24"/>
                <w:szCs w:val="24"/>
              </w:rPr>
              <w:t>ISO 3862:2020</w:t>
            </w:r>
          </w:p>
        </w:tc>
        <w:tc>
          <w:tcPr>
            <w:tcW w:w="851" w:type="dxa"/>
          </w:tcPr>
          <w:p w:rsidR="009E3E7C" w:rsidRPr="004B45E8" w:rsidRDefault="009E3E7C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9E3E7C" w:rsidRPr="004B45E8" w:rsidRDefault="009E3E7C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B45E8">
              <w:rPr>
                <w:rFonts w:asciiTheme="minorBidi" w:hAnsiTheme="minorBidi" w:cstheme="minorBidi"/>
                <w:sz w:val="24"/>
                <w:szCs w:val="24"/>
              </w:rPr>
              <w:t>IDT</w:t>
            </w:r>
          </w:p>
        </w:tc>
        <w:tc>
          <w:tcPr>
            <w:tcW w:w="1417" w:type="dxa"/>
          </w:tcPr>
          <w:p w:rsidR="009E3E7C" w:rsidRPr="004B45E8" w:rsidRDefault="009E3E7C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9E3E7C" w:rsidRPr="004B45E8" w:rsidRDefault="009240B2" w:rsidP="009E68A5">
            <w:pPr>
              <w:jc w:val="center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</w:pPr>
            <w:r w:rsidRPr="004B45E8">
              <w:rPr>
                <w:rFonts w:ascii="Arial" w:hAnsi="Arial" w:cs="Arial"/>
                <w:sz w:val="25"/>
                <w:szCs w:val="25"/>
                <w:shd w:val="clear" w:color="auto" w:fill="F4F3F3"/>
              </w:rPr>
              <w:t> </w:t>
            </w:r>
            <w:hyperlink r:id="rId9" w:tooltip="Tuyauterie et raccords" w:history="1">
              <w:r w:rsidRPr="004B45E8">
                <w:rPr>
                  <w:rStyle w:val="Lienhypertexte"/>
                  <w:rFonts w:ascii="Arial" w:hAnsi="Arial" w:cs="Arial"/>
                  <w:color w:val="auto"/>
                  <w:sz w:val="25"/>
                  <w:szCs w:val="25"/>
                  <w:u w:val="none"/>
                  <w:shd w:val="clear" w:color="auto" w:fill="F4F3F3"/>
                </w:rPr>
                <w:t>23.100.40</w:t>
              </w:r>
            </w:hyperlink>
            <w:r w:rsidRPr="004B45E8">
              <w:rPr>
                <w:rStyle w:val="entry-name"/>
                <w:rFonts w:ascii="Arial" w:hAnsi="Arial" w:cs="Arial"/>
                <w:sz w:val="25"/>
                <w:szCs w:val="25"/>
                <w:shd w:val="clear" w:color="auto" w:fill="F4F3F3"/>
              </w:rPr>
              <w:t> </w:t>
            </w:r>
            <w:r w:rsidRPr="004B45E8">
              <w:rPr>
                <w:rFonts w:ascii="Arial" w:hAnsi="Arial" w:cs="Arial"/>
                <w:sz w:val="25"/>
                <w:szCs w:val="25"/>
                <w:shd w:val="clear" w:color="auto" w:fill="F4F3F3"/>
              </w:rPr>
              <w:t> </w:t>
            </w:r>
            <w:hyperlink r:id="rId10" w:tooltip="Tuyaux flexibles" w:history="1">
              <w:r w:rsidRPr="004B45E8">
                <w:rPr>
                  <w:rStyle w:val="Lienhypertexte"/>
                  <w:rFonts w:ascii="Arial" w:hAnsi="Arial" w:cs="Arial"/>
                  <w:color w:val="auto"/>
                  <w:sz w:val="25"/>
                  <w:szCs w:val="25"/>
                  <w:u w:val="none"/>
                  <w:shd w:val="clear" w:color="auto" w:fill="F4F3F3"/>
                </w:rPr>
                <w:t>83.140.40</w:t>
              </w:r>
            </w:hyperlink>
            <w:r w:rsidRPr="004B45E8">
              <w:rPr>
                <w:rStyle w:val="entry-name"/>
                <w:rFonts w:ascii="Arial" w:hAnsi="Arial" w:cs="Arial"/>
                <w:sz w:val="25"/>
                <w:szCs w:val="25"/>
                <w:shd w:val="clear" w:color="auto" w:fill="F4F3F3"/>
              </w:rPr>
              <w:t> </w:t>
            </w:r>
          </w:p>
        </w:tc>
        <w:tc>
          <w:tcPr>
            <w:tcW w:w="3828" w:type="dxa"/>
            <w:vAlign w:val="center"/>
          </w:tcPr>
          <w:p w:rsidR="009E3E7C" w:rsidRPr="0054747B" w:rsidRDefault="000D5DE1" w:rsidP="009E68A5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BF58A1">
              <w:rPr>
                <w:rFonts w:ascii="Arial" w:hAnsi="Arial"/>
                <w:color w:val="000000"/>
                <w:sz w:val="24"/>
                <w:szCs w:val="24"/>
              </w:rPr>
              <w:t>Tuyaux et flexibles en caoutchouc — Types hydrauliques avec armature hélicoïdale de fils métalliques pour fluides à base d'huile ou à base d'eau — Spécifications</w:t>
            </w:r>
          </w:p>
        </w:tc>
      </w:tr>
      <w:tr w:rsidR="00804A93" w:rsidRPr="0054747B" w:rsidTr="006B4B40">
        <w:trPr>
          <w:trHeight w:val="816"/>
        </w:trPr>
        <w:tc>
          <w:tcPr>
            <w:tcW w:w="2235" w:type="dxa"/>
          </w:tcPr>
          <w:p w:rsidR="00804A93" w:rsidRPr="004B45E8" w:rsidRDefault="00804A93" w:rsidP="009E68A5">
            <w:pPr>
              <w:rPr>
                <w:rFonts w:ascii="Arial" w:hAnsi="Arial"/>
                <w:sz w:val="24"/>
                <w:szCs w:val="24"/>
              </w:rPr>
            </w:pPr>
            <w:r w:rsidRPr="004B45E8">
              <w:rPr>
                <w:rFonts w:ascii="Arial" w:hAnsi="Arial"/>
                <w:sz w:val="24"/>
                <w:szCs w:val="24"/>
              </w:rPr>
              <w:t xml:space="preserve">    PNA 14748</w:t>
            </w:r>
          </w:p>
        </w:tc>
        <w:tc>
          <w:tcPr>
            <w:tcW w:w="1842" w:type="dxa"/>
          </w:tcPr>
          <w:p w:rsidR="00804A93" w:rsidRPr="004B45E8" w:rsidRDefault="00BD60EA" w:rsidP="009E68A5">
            <w:hyperlink r:id="rId11" w:history="1">
              <w:r w:rsidR="00804A93" w:rsidRPr="004B45E8">
                <w:rPr>
                  <w:rFonts w:ascii="Arial" w:hAnsi="Arial"/>
                  <w:sz w:val="24"/>
                  <w:szCs w:val="24"/>
                </w:rPr>
                <w:t> ISO 4079: 2020</w:t>
              </w:r>
            </w:hyperlink>
          </w:p>
          <w:p w:rsidR="00804A93" w:rsidRPr="004B45E8" w:rsidRDefault="00804A93" w:rsidP="009E68A5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804A93" w:rsidRPr="004B45E8" w:rsidRDefault="00804A93">
            <w:r w:rsidRPr="004B45E8">
              <w:rPr>
                <w:rFonts w:asciiTheme="minorBidi" w:hAnsiTheme="minorBidi" w:cstheme="minorBidi"/>
                <w:sz w:val="24"/>
                <w:szCs w:val="24"/>
              </w:rPr>
              <w:t>IDT</w:t>
            </w:r>
          </w:p>
        </w:tc>
        <w:tc>
          <w:tcPr>
            <w:tcW w:w="1417" w:type="dxa"/>
          </w:tcPr>
          <w:p w:rsidR="00804A93" w:rsidRPr="004B45E8" w:rsidRDefault="00804A93">
            <w:r w:rsidRPr="004B45E8">
              <w:t xml:space="preserve">   </w:t>
            </w:r>
            <w:r w:rsidR="009240B2" w:rsidRPr="004B45E8">
              <w:rPr>
                <w:rFonts w:ascii="Arial" w:hAnsi="Arial" w:cs="Arial"/>
                <w:sz w:val="25"/>
                <w:szCs w:val="25"/>
                <w:shd w:val="clear" w:color="auto" w:fill="F4F3F3"/>
              </w:rPr>
              <w:t> </w:t>
            </w:r>
            <w:hyperlink r:id="rId12" w:tooltip="Tuyauterie et raccords" w:history="1">
              <w:r w:rsidR="009240B2" w:rsidRPr="004B45E8">
                <w:rPr>
                  <w:rStyle w:val="Lienhypertexte"/>
                  <w:rFonts w:ascii="Arial" w:hAnsi="Arial" w:cs="Arial"/>
                  <w:color w:val="auto"/>
                  <w:sz w:val="25"/>
                  <w:szCs w:val="25"/>
                  <w:u w:val="none"/>
                  <w:shd w:val="clear" w:color="auto" w:fill="F4F3F3"/>
                </w:rPr>
                <w:t>23.100.40</w:t>
              </w:r>
            </w:hyperlink>
            <w:r w:rsidR="009240B2" w:rsidRPr="004B45E8">
              <w:rPr>
                <w:rStyle w:val="entry-name"/>
                <w:rFonts w:ascii="Arial" w:hAnsi="Arial" w:cs="Arial"/>
                <w:sz w:val="25"/>
                <w:szCs w:val="25"/>
                <w:shd w:val="clear" w:color="auto" w:fill="F4F3F3"/>
              </w:rPr>
              <w:t> </w:t>
            </w:r>
            <w:r w:rsidR="009240B2" w:rsidRPr="004B45E8">
              <w:rPr>
                <w:rFonts w:ascii="Arial" w:hAnsi="Arial" w:cs="Arial"/>
                <w:sz w:val="25"/>
                <w:szCs w:val="25"/>
                <w:shd w:val="clear" w:color="auto" w:fill="F4F3F3"/>
              </w:rPr>
              <w:t> </w:t>
            </w:r>
            <w:hyperlink r:id="rId13" w:tooltip="Tuyaux flexibles" w:history="1">
              <w:r w:rsidR="009240B2" w:rsidRPr="004B45E8">
                <w:rPr>
                  <w:rStyle w:val="Lienhypertexte"/>
                  <w:rFonts w:ascii="Arial" w:hAnsi="Arial" w:cs="Arial"/>
                  <w:color w:val="auto"/>
                  <w:sz w:val="25"/>
                  <w:szCs w:val="25"/>
                  <w:u w:val="none"/>
                  <w:shd w:val="clear" w:color="auto" w:fill="F4F3F3"/>
                </w:rPr>
                <w:t>83.140.40</w:t>
              </w:r>
            </w:hyperlink>
            <w:r w:rsidR="009240B2" w:rsidRPr="004B45E8">
              <w:rPr>
                <w:rStyle w:val="entry-name"/>
                <w:rFonts w:ascii="Arial" w:hAnsi="Arial" w:cs="Arial"/>
                <w:sz w:val="25"/>
                <w:szCs w:val="25"/>
                <w:shd w:val="clear" w:color="auto" w:fill="F4F3F3"/>
              </w:rPr>
              <w:t> </w:t>
            </w:r>
          </w:p>
        </w:tc>
        <w:tc>
          <w:tcPr>
            <w:tcW w:w="3828" w:type="dxa"/>
          </w:tcPr>
          <w:p w:rsidR="00804A93" w:rsidRPr="00BF58A1" w:rsidRDefault="00804A93" w:rsidP="009E68A5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BF58A1">
              <w:rPr>
                <w:rFonts w:ascii="Arial" w:hAnsi="Arial"/>
                <w:color w:val="000000"/>
                <w:sz w:val="24"/>
                <w:szCs w:val="24"/>
              </w:rPr>
              <w:t>Tuyaux et flexibles en caoutchouc — Types hydrauliques avec armature de textile pour fluides à base d'huile ou à base d'eau — Spécifications</w:t>
            </w:r>
          </w:p>
        </w:tc>
      </w:tr>
      <w:tr w:rsidR="00804A93" w:rsidRPr="0054747B" w:rsidTr="006B4B40">
        <w:trPr>
          <w:trHeight w:val="816"/>
        </w:trPr>
        <w:tc>
          <w:tcPr>
            <w:tcW w:w="2235" w:type="dxa"/>
          </w:tcPr>
          <w:p w:rsidR="00804A93" w:rsidRPr="004B45E8" w:rsidRDefault="00804A93" w:rsidP="009E68A5">
            <w:pPr>
              <w:rPr>
                <w:rFonts w:ascii="Arial" w:hAnsi="Arial"/>
                <w:sz w:val="24"/>
                <w:szCs w:val="24"/>
              </w:rPr>
            </w:pPr>
            <w:r w:rsidRPr="004B45E8">
              <w:rPr>
                <w:rFonts w:ascii="Arial" w:hAnsi="Arial"/>
                <w:sz w:val="24"/>
                <w:szCs w:val="24"/>
              </w:rPr>
              <w:t xml:space="preserve">    PNA 7627</w:t>
            </w:r>
          </w:p>
        </w:tc>
        <w:tc>
          <w:tcPr>
            <w:tcW w:w="1842" w:type="dxa"/>
          </w:tcPr>
          <w:p w:rsidR="00804A93" w:rsidRPr="004B45E8" w:rsidRDefault="00804A93" w:rsidP="009E68A5">
            <w:r w:rsidRPr="004B45E8">
              <w:rPr>
                <w:rFonts w:ascii="Arial" w:hAnsi="Arial"/>
                <w:sz w:val="24"/>
                <w:szCs w:val="24"/>
              </w:rPr>
              <w:t>ISO 4080:2024</w:t>
            </w:r>
          </w:p>
        </w:tc>
        <w:tc>
          <w:tcPr>
            <w:tcW w:w="851" w:type="dxa"/>
          </w:tcPr>
          <w:p w:rsidR="00804A93" w:rsidRPr="004B45E8" w:rsidRDefault="00804A93">
            <w:r w:rsidRPr="004B45E8">
              <w:rPr>
                <w:rFonts w:asciiTheme="minorBidi" w:hAnsiTheme="minorBidi" w:cstheme="minorBidi"/>
                <w:sz w:val="24"/>
                <w:szCs w:val="24"/>
              </w:rPr>
              <w:t>IDT</w:t>
            </w:r>
          </w:p>
        </w:tc>
        <w:tc>
          <w:tcPr>
            <w:tcW w:w="1417" w:type="dxa"/>
          </w:tcPr>
          <w:p w:rsidR="00804A93" w:rsidRPr="004B45E8" w:rsidRDefault="00804A93">
            <w:r w:rsidRPr="004B45E8">
              <w:t xml:space="preserve"> </w:t>
            </w:r>
            <w:r w:rsidR="009240B2" w:rsidRPr="004B45E8">
              <w:rPr>
                <w:rFonts w:ascii="Arial" w:hAnsi="Arial" w:cs="Arial"/>
                <w:sz w:val="25"/>
                <w:szCs w:val="25"/>
                <w:shd w:val="clear" w:color="auto" w:fill="F4F3F3"/>
              </w:rPr>
              <w:t> </w:t>
            </w:r>
            <w:hyperlink r:id="rId14" w:tooltip="Tuyaux et flexibles" w:history="1">
              <w:r w:rsidR="009240B2" w:rsidRPr="004B45E8">
                <w:rPr>
                  <w:rStyle w:val="Lienhypertexte"/>
                  <w:rFonts w:ascii="Arial" w:hAnsi="Arial" w:cs="Arial"/>
                  <w:color w:val="auto"/>
                  <w:sz w:val="25"/>
                  <w:szCs w:val="25"/>
                  <w:u w:val="none"/>
                  <w:shd w:val="clear" w:color="auto" w:fill="F4F3F3"/>
                </w:rPr>
                <w:t>23.040.70</w:t>
              </w:r>
            </w:hyperlink>
            <w:r w:rsidR="009240B2" w:rsidRPr="004B45E8">
              <w:rPr>
                <w:rStyle w:val="entry-name"/>
                <w:rFonts w:ascii="Arial" w:hAnsi="Arial" w:cs="Arial"/>
                <w:sz w:val="25"/>
                <w:szCs w:val="25"/>
                <w:shd w:val="clear" w:color="auto" w:fill="F4F3F3"/>
              </w:rPr>
              <w:t> </w:t>
            </w:r>
            <w:r w:rsidRPr="004B45E8">
              <w:rPr>
                <w:rFonts w:asciiTheme="minorBidi" w:hAnsiTheme="minorBidi" w:cstheme="minorBidi"/>
                <w:spacing w:val="-3"/>
                <w:sz w:val="24"/>
                <w:szCs w:val="24"/>
                <w:shd w:val="clear" w:color="auto" w:fill="F4F3F3"/>
              </w:rPr>
              <w:t> </w:t>
            </w:r>
          </w:p>
        </w:tc>
        <w:tc>
          <w:tcPr>
            <w:tcW w:w="3828" w:type="dxa"/>
          </w:tcPr>
          <w:p w:rsidR="00804A93" w:rsidRPr="00BF58A1" w:rsidRDefault="00804A93" w:rsidP="009E68A5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BF58A1">
              <w:rPr>
                <w:rFonts w:ascii="Arial" w:hAnsi="Arial"/>
                <w:color w:val="000000"/>
                <w:sz w:val="24"/>
                <w:szCs w:val="24"/>
              </w:rPr>
              <w:t>Tuyaux et tubes en caoutchouc et en plastique, et leurs assemblages — Détermination de la perméabilité au gaz</w:t>
            </w:r>
          </w:p>
        </w:tc>
      </w:tr>
    </w:tbl>
    <w:p w:rsidR="009E3E7C" w:rsidRDefault="009E3E7C" w:rsidP="00262564">
      <w:pPr>
        <w:rPr>
          <w:rFonts w:ascii="Arial" w:hAnsi="Arial"/>
          <w:b/>
          <w:bCs/>
        </w:rPr>
      </w:pPr>
    </w:p>
    <w:sectPr w:rsidR="009E3E7C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9AE" w:rsidRDefault="009B29AE" w:rsidP="00A95B30">
      <w:r>
        <w:separator/>
      </w:r>
    </w:p>
  </w:endnote>
  <w:endnote w:type="continuationSeparator" w:id="1">
    <w:p w:rsidR="009B29AE" w:rsidRDefault="009B29AE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9AE" w:rsidRDefault="009B29AE" w:rsidP="00A95B30">
      <w:r>
        <w:separator/>
      </w:r>
    </w:p>
  </w:footnote>
  <w:footnote w:type="continuationSeparator" w:id="1">
    <w:p w:rsidR="009B29AE" w:rsidRDefault="009B29AE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055A4"/>
    <w:rsid w:val="00053CAB"/>
    <w:rsid w:val="000560A8"/>
    <w:rsid w:val="000764F4"/>
    <w:rsid w:val="000877BC"/>
    <w:rsid w:val="000B4A52"/>
    <w:rsid w:val="000B4AC2"/>
    <w:rsid w:val="000B6244"/>
    <w:rsid w:val="000C54D9"/>
    <w:rsid w:val="000D087B"/>
    <w:rsid w:val="000D3DC3"/>
    <w:rsid w:val="000D5DE1"/>
    <w:rsid w:val="001100C8"/>
    <w:rsid w:val="00110A67"/>
    <w:rsid w:val="0013335B"/>
    <w:rsid w:val="00145697"/>
    <w:rsid w:val="001620F5"/>
    <w:rsid w:val="001674E4"/>
    <w:rsid w:val="00171A05"/>
    <w:rsid w:val="00172290"/>
    <w:rsid w:val="00183891"/>
    <w:rsid w:val="001A717F"/>
    <w:rsid w:val="001B137F"/>
    <w:rsid w:val="001B2F7A"/>
    <w:rsid w:val="001B6249"/>
    <w:rsid w:val="001D0EA0"/>
    <w:rsid w:val="001D2044"/>
    <w:rsid w:val="001D33CB"/>
    <w:rsid w:val="001F223F"/>
    <w:rsid w:val="00205B7C"/>
    <w:rsid w:val="00217435"/>
    <w:rsid w:val="002204ED"/>
    <w:rsid w:val="002279B4"/>
    <w:rsid w:val="002570FA"/>
    <w:rsid w:val="00262564"/>
    <w:rsid w:val="0026568F"/>
    <w:rsid w:val="00272EEF"/>
    <w:rsid w:val="002B571E"/>
    <w:rsid w:val="002E4F87"/>
    <w:rsid w:val="00303AE7"/>
    <w:rsid w:val="00312924"/>
    <w:rsid w:val="00325CA3"/>
    <w:rsid w:val="00353C7C"/>
    <w:rsid w:val="00362F12"/>
    <w:rsid w:val="003815D0"/>
    <w:rsid w:val="00392FDE"/>
    <w:rsid w:val="003A5DA4"/>
    <w:rsid w:val="003B4AB5"/>
    <w:rsid w:val="003B5DBE"/>
    <w:rsid w:val="003C16E1"/>
    <w:rsid w:val="003D5C07"/>
    <w:rsid w:val="003E75CB"/>
    <w:rsid w:val="003F7AD8"/>
    <w:rsid w:val="00421DE6"/>
    <w:rsid w:val="004608F2"/>
    <w:rsid w:val="00460E93"/>
    <w:rsid w:val="004870C0"/>
    <w:rsid w:val="0049231B"/>
    <w:rsid w:val="004B0131"/>
    <w:rsid w:val="004B45E8"/>
    <w:rsid w:val="004E041F"/>
    <w:rsid w:val="004F4153"/>
    <w:rsid w:val="005004FF"/>
    <w:rsid w:val="0050151E"/>
    <w:rsid w:val="00501F5A"/>
    <w:rsid w:val="0050561C"/>
    <w:rsid w:val="00506C12"/>
    <w:rsid w:val="0050757E"/>
    <w:rsid w:val="00513DCB"/>
    <w:rsid w:val="00521FC3"/>
    <w:rsid w:val="005263D1"/>
    <w:rsid w:val="00534942"/>
    <w:rsid w:val="0054747B"/>
    <w:rsid w:val="00547E15"/>
    <w:rsid w:val="00557BB6"/>
    <w:rsid w:val="00590379"/>
    <w:rsid w:val="005B0971"/>
    <w:rsid w:val="005B135F"/>
    <w:rsid w:val="005B42D7"/>
    <w:rsid w:val="005D627B"/>
    <w:rsid w:val="00600ABA"/>
    <w:rsid w:val="00616AF5"/>
    <w:rsid w:val="006220C9"/>
    <w:rsid w:val="006779EC"/>
    <w:rsid w:val="00683B8E"/>
    <w:rsid w:val="00695355"/>
    <w:rsid w:val="006B3C77"/>
    <w:rsid w:val="006F228E"/>
    <w:rsid w:val="00714D23"/>
    <w:rsid w:val="007431A1"/>
    <w:rsid w:val="00770BF7"/>
    <w:rsid w:val="00775754"/>
    <w:rsid w:val="007806F7"/>
    <w:rsid w:val="00787AD8"/>
    <w:rsid w:val="00793CCF"/>
    <w:rsid w:val="007B1F19"/>
    <w:rsid w:val="007C0EC7"/>
    <w:rsid w:val="007C307B"/>
    <w:rsid w:val="007C5A68"/>
    <w:rsid w:val="007D09A2"/>
    <w:rsid w:val="007D35A0"/>
    <w:rsid w:val="007D3930"/>
    <w:rsid w:val="007F53A1"/>
    <w:rsid w:val="0080316A"/>
    <w:rsid w:val="00804A93"/>
    <w:rsid w:val="00822058"/>
    <w:rsid w:val="008318B6"/>
    <w:rsid w:val="00833CDC"/>
    <w:rsid w:val="00840A7E"/>
    <w:rsid w:val="00850EF8"/>
    <w:rsid w:val="00853E08"/>
    <w:rsid w:val="00861160"/>
    <w:rsid w:val="00864B93"/>
    <w:rsid w:val="008724F4"/>
    <w:rsid w:val="00882B93"/>
    <w:rsid w:val="00895A15"/>
    <w:rsid w:val="008B0022"/>
    <w:rsid w:val="008B0103"/>
    <w:rsid w:val="008B675F"/>
    <w:rsid w:val="008C6636"/>
    <w:rsid w:val="008E0713"/>
    <w:rsid w:val="008E74BE"/>
    <w:rsid w:val="008F3A48"/>
    <w:rsid w:val="00910B04"/>
    <w:rsid w:val="00916E32"/>
    <w:rsid w:val="009240B2"/>
    <w:rsid w:val="00942851"/>
    <w:rsid w:val="00947F38"/>
    <w:rsid w:val="00951C38"/>
    <w:rsid w:val="00963470"/>
    <w:rsid w:val="00971EA7"/>
    <w:rsid w:val="009831DB"/>
    <w:rsid w:val="009832EC"/>
    <w:rsid w:val="00991492"/>
    <w:rsid w:val="00991785"/>
    <w:rsid w:val="00996340"/>
    <w:rsid w:val="00997740"/>
    <w:rsid w:val="009A3E1E"/>
    <w:rsid w:val="009B29AE"/>
    <w:rsid w:val="009C25D5"/>
    <w:rsid w:val="009E3E7C"/>
    <w:rsid w:val="009E4980"/>
    <w:rsid w:val="009F56F1"/>
    <w:rsid w:val="009F6A96"/>
    <w:rsid w:val="00A11943"/>
    <w:rsid w:val="00A15670"/>
    <w:rsid w:val="00A15FEE"/>
    <w:rsid w:val="00A24F24"/>
    <w:rsid w:val="00A44E9A"/>
    <w:rsid w:val="00A5318B"/>
    <w:rsid w:val="00A6307E"/>
    <w:rsid w:val="00A95B30"/>
    <w:rsid w:val="00AA2286"/>
    <w:rsid w:val="00AB3B67"/>
    <w:rsid w:val="00AB694F"/>
    <w:rsid w:val="00AE16B0"/>
    <w:rsid w:val="00AF27DC"/>
    <w:rsid w:val="00B019CD"/>
    <w:rsid w:val="00B03D26"/>
    <w:rsid w:val="00B301AF"/>
    <w:rsid w:val="00B302A2"/>
    <w:rsid w:val="00B453C3"/>
    <w:rsid w:val="00B51A65"/>
    <w:rsid w:val="00B5361A"/>
    <w:rsid w:val="00B55228"/>
    <w:rsid w:val="00B7185E"/>
    <w:rsid w:val="00B802FF"/>
    <w:rsid w:val="00B86313"/>
    <w:rsid w:val="00B955A1"/>
    <w:rsid w:val="00B96324"/>
    <w:rsid w:val="00BA775B"/>
    <w:rsid w:val="00BB067E"/>
    <w:rsid w:val="00BC2AE8"/>
    <w:rsid w:val="00BC2F92"/>
    <w:rsid w:val="00BC53BB"/>
    <w:rsid w:val="00BC6202"/>
    <w:rsid w:val="00BD60EA"/>
    <w:rsid w:val="00BF674E"/>
    <w:rsid w:val="00C0179E"/>
    <w:rsid w:val="00C01F7D"/>
    <w:rsid w:val="00C92734"/>
    <w:rsid w:val="00C92B30"/>
    <w:rsid w:val="00C97F7D"/>
    <w:rsid w:val="00CA37AB"/>
    <w:rsid w:val="00CC604A"/>
    <w:rsid w:val="00CE5F97"/>
    <w:rsid w:val="00CF2F62"/>
    <w:rsid w:val="00D02EC2"/>
    <w:rsid w:val="00D06149"/>
    <w:rsid w:val="00D112B9"/>
    <w:rsid w:val="00D13C94"/>
    <w:rsid w:val="00D21BBA"/>
    <w:rsid w:val="00D2614F"/>
    <w:rsid w:val="00D44D98"/>
    <w:rsid w:val="00D540FE"/>
    <w:rsid w:val="00D54262"/>
    <w:rsid w:val="00D565E3"/>
    <w:rsid w:val="00D76B48"/>
    <w:rsid w:val="00D8113D"/>
    <w:rsid w:val="00D83286"/>
    <w:rsid w:val="00DC12BA"/>
    <w:rsid w:val="00DD7AE5"/>
    <w:rsid w:val="00DE1991"/>
    <w:rsid w:val="00DF1C4B"/>
    <w:rsid w:val="00DF3558"/>
    <w:rsid w:val="00DF4E6B"/>
    <w:rsid w:val="00E006B6"/>
    <w:rsid w:val="00E3202E"/>
    <w:rsid w:val="00E52360"/>
    <w:rsid w:val="00E83BEB"/>
    <w:rsid w:val="00E84D82"/>
    <w:rsid w:val="00EA18C0"/>
    <w:rsid w:val="00EA5CBF"/>
    <w:rsid w:val="00EB6C11"/>
    <w:rsid w:val="00EC316B"/>
    <w:rsid w:val="00EC6C6C"/>
    <w:rsid w:val="00ED2C77"/>
    <w:rsid w:val="00EE0458"/>
    <w:rsid w:val="00EF0413"/>
    <w:rsid w:val="00EF0EB2"/>
    <w:rsid w:val="00F074FE"/>
    <w:rsid w:val="00F14983"/>
    <w:rsid w:val="00F36DD1"/>
    <w:rsid w:val="00F36E20"/>
    <w:rsid w:val="00F63B35"/>
    <w:rsid w:val="00F72394"/>
    <w:rsid w:val="00F7732B"/>
    <w:rsid w:val="00FA121A"/>
    <w:rsid w:val="00FA78A6"/>
    <w:rsid w:val="00FB1081"/>
    <w:rsid w:val="00FB1BD5"/>
    <w:rsid w:val="00FC3568"/>
    <w:rsid w:val="00FC6554"/>
    <w:rsid w:val="00FF5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392FDE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B137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Pa0">
    <w:name w:val="Pa0"/>
    <w:basedOn w:val="Normal"/>
    <w:next w:val="Normal"/>
    <w:uiPriority w:val="99"/>
    <w:rsid w:val="00521FC3"/>
    <w:pPr>
      <w:overflowPunct/>
      <w:spacing w:line="360" w:lineRule="atLeast"/>
      <w:textAlignment w:val="auto"/>
    </w:pPr>
    <w:rPr>
      <w:rFonts w:ascii="Cambria" w:eastAsia="Calibri" w:hAnsi="Cambria" w:cs="Arial"/>
      <w:sz w:val="24"/>
      <w:szCs w:val="24"/>
    </w:rPr>
  </w:style>
  <w:style w:type="paragraph" w:customStyle="1" w:styleId="normal0">
    <w:name w:val="normal"/>
    <w:rsid w:val="00DD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92FDE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efault">
    <w:name w:val="Default"/>
    <w:qFormat/>
    <w:rsid w:val="00392FDE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fr-FR"/>
    </w:rPr>
  </w:style>
  <w:style w:type="character" w:customStyle="1" w:styleId="entry-name">
    <w:name w:val="entry-name"/>
    <w:basedOn w:val="Policepardfaut"/>
    <w:rsid w:val="00924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B137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Pa0">
    <w:name w:val="Pa0"/>
    <w:basedOn w:val="Normal"/>
    <w:next w:val="Normal"/>
    <w:uiPriority w:val="99"/>
    <w:rsid w:val="00521FC3"/>
    <w:pPr>
      <w:overflowPunct/>
      <w:spacing w:line="360" w:lineRule="atLeast"/>
      <w:textAlignment w:val="auto"/>
    </w:pPr>
    <w:rPr>
      <w:rFonts w:ascii="Cambria" w:eastAsia="Calibri" w:hAnsi="Cambria" w:cs="Arial"/>
      <w:sz w:val="24"/>
      <w:szCs w:val="24"/>
    </w:rPr>
  </w:style>
  <w:style w:type="paragraph" w:customStyle="1" w:styleId="normal0">
    <w:name w:val="normal"/>
    <w:rsid w:val="00DD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.org/fr/ics/23.040.70.html" TargetMode="External"/><Relationship Id="rId13" Type="http://schemas.openxmlformats.org/officeDocument/2006/relationships/hyperlink" Target="https://www.iso.org/fr/ics/83.140.4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o.org/fr/ics/83.060.html" TargetMode="External"/><Relationship Id="rId12" Type="http://schemas.openxmlformats.org/officeDocument/2006/relationships/hyperlink" Target="https://www.iso.org/fr/ics/23.100.40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so.org/fr/standard/75650.html?browse=t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so.org/fr/ics/83.140.4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so.org/fr/ics/23.100.40.html" TargetMode="External"/><Relationship Id="rId14" Type="http://schemas.openxmlformats.org/officeDocument/2006/relationships/hyperlink" Target="https://www.iso.org/fr/ics/23.040.70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F6D0F-C2B6-42BD-B9C6-770D578A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ianor</cp:lastModifiedBy>
  <cp:revision>2</cp:revision>
  <cp:lastPrinted>2016-06-21T09:55:00Z</cp:lastPrinted>
  <dcterms:created xsi:type="dcterms:W3CDTF">2026-04-06T09:22:00Z</dcterms:created>
  <dcterms:modified xsi:type="dcterms:W3CDTF">2026-04-06T09:22:00Z</dcterms:modified>
</cp:coreProperties>
</file>