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1F7A7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1F7A7E">
        <w:rPr>
          <w:rFonts w:ascii="Arial" w:hAnsi="Arial" w:cs="Arial"/>
          <w:b/>
          <w:bCs/>
          <w:color w:val="000000" w:themeColor="text1"/>
          <w:sz w:val="32"/>
          <w:szCs w:val="32"/>
        </w:rPr>
        <w:t>MMM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E5F91" w:rsidRDefault="00AE5F91" w:rsidP="00813388">
      <w:pPr>
        <w:rPr>
          <w:rFonts w:ascii="Arial" w:hAnsi="Arial" w:cs="Arial"/>
          <w:bCs/>
          <w:color w:val="000000" w:themeColor="text1"/>
        </w:rPr>
      </w:pPr>
    </w:p>
    <w:p w:rsidR="007D09A2" w:rsidRPr="00D13C94" w:rsidRDefault="002279B4" w:rsidP="00BA54EC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 xml:space="preserve">CTN </w:t>
      </w:r>
      <w:r w:rsidR="00EB421D">
        <w:rPr>
          <w:rFonts w:ascii="Arial" w:hAnsi="Arial" w:cs="Arial"/>
          <w:bCs/>
          <w:color w:val="000000" w:themeColor="text1"/>
        </w:rPr>
        <w:t>1</w:t>
      </w:r>
      <w:r w:rsidR="00101FD7">
        <w:rPr>
          <w:rFonts w:ascii="Arial" w:hAnsi="Arial" w:cs="Arial"/>
          <w:bCs/>
          <w:color w:val="000000" w:themeColor="text1"/>
        </w:rPr>
        <w:t>9</w:t>
      </w:r>
      <w:r w:rsidR="00EB421D">
        <w:rPr>
          <w:rFonts w:ascii="Arial" w:hAnsi="Arial" w:cs="Arial"/>
          <w:bCs/>
          <w:color w:val="000000" w:themeColor="text1"/>
        </w:rPr>
        <w:t> :</w:t>
      </w:r>
      <w:r w:rsidR="001F7A7E" w:rsidRPr="001F7A7E">
        <w:rPr>
          <w:rFonts w:ascii="Arial" w:hAnsi="Arial" w:cs="Arial"/>
          <w:b/>
          <w:caps/>
          <w:color w:val="000000"/>
          <w:sz w:val="24"/>
          <w:szCs w:val="24"/>
          <w:lang w:eastAsia="zh-CN"/>
        </w:rPr>
        <w:t xml:space="preserve"> </w:t>
      </w:r>
      <w:r w:rsidR="00101FD7" w:rsidRPr="00101FD7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TRACTEURS ET MATERIELS AGRICOLES ET FORESTIERS </w:t>
      </w:r>
      <w:r w:rsidR="00757CC9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          </w:t>
      </w:r>
      <w:r w:rsidR="00B552A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F249CC">
        <w:rPr>
          <w:rFonts w:ascii="Arial" w:hAnsi="Arial" w:cs="Arial"/>
          <w:bCs/>
          <w:color w:val="000000" w:themeColor="text1"/>
        </w:rPr>
        <w:t xml:space="preserve">début :     </w:t>
      </w:r>
      <w:r w:rsidR="00E33E77">
        <w:rPr>
          <w:rFonts w:ascii="Arial" w:hAnsi="Arial" w:cs="Arial"/>
          <w:bCs/>
          <w:color w:val="000000" w:themeColor="text1"/>
        </w:rPr>
        <w:t>14-</w:t>
      </w:r>
      <w:r w:rsidR="00BA54EC">
        <w:rPr>
          <w:rFonts w:ascii="Arial" w:hAnsi="Arial" w:cs="Arial"/>
          <w:bCs/>
          <w:color w:val="000000" w:themeColor="text1"/>
        </w:rPr>
        <w:t>01</w:t>
      </w:r>
      <w:r w:rsidR="002B280F">
        <w:rPr>
          <w:rFonts w:ascii="Arial" w:hAnsi="Arial" w:cs="Arial"/>
          <w:bCs/>
          <w:color w:val="000000" w:themeColor="text1"/>
        </w:rPr>
        <w:t>-202</w:t>
      </w:r>
      <w:r w:rsidR="00BA54EC">
        <w:rPr>
          <w:rFonts w:ascii="Arial" w:hAnsi="Arial" w:cs="Arial"/>
          <w:bCs/>
          <w:color w:val="000000" w:themeColor="text1"/>
        </w:rPr>
        <w:t>6</w:t>
      </w:r>
      <w:r w:rsidR="00F249CC">
        <w:rPr>
          <w:rFonts w:ascii="Arial" w:hAnsi="Arial" w:cs="Arial"/>
          <w:bCs/>
          <w:color w:val="000000" w:themeColor="text1"/>
        </w:rPr>
        <w:t xml:space="preserve">        fin :     </w:t>
      </w:r>
      <w:r w:rsidR="00E33E77">
        <w:rPr>
          <w:rFonts w:ascii="Arial" w:hAnsi="Arial" w:cs="Arial"/>
          <w:bCs/>
          <w:color w:val="000000" w:themeColor="text1"/>
        </w:rPr>
        <w:t>14-</w:t>
      </w:r>
      <w:r w:rsidR="00BA54EC">
        <w:rPr>
          <w:rFonts w:ascii="Arial" w:hAnsi="Arial" w:cs="Arial"/>
          <w:bCs/>
          <w:color w:val="000000" w:themeColor="text1"/>
        </w:rPr>
        <w:t>03</w:t>
      </w:r>
      <w:bookmarkStart w:id="0" w:name="_GoBack"/>
      <w:bookmarkEnd w:id="0"/>
      <w:r w:rsidR="002B280F">
        <w:rPr>
          <w:rFonts w:ascii="Arial" w:hAnsi="Arial" w:cs="Arial"/>
          <w:bCs/>
          <w:color w:val="000000" w:themeColor="text1"/>
        </w:rPr>
        <w:t>-20</w:t>
      </w:r>
      <w:r w:rsidR="00BA54EC">
        <w:rPr>
          <w:rFonts w:ascii="Arial" w:hAnsi="Arial" w:cs="Arial"/>
          <w:bCs/>
          <w:color w:val="000000" w:themeColor="text1"/>
        </w:rPr>
        <w:t>26</w:t>
      </w:r>
      <w:r w:rsidR="00F249CC">
        <w:rPr>
          <w:rFonts w:ascii="Arial" w:hAnsi="Arial" w:cs="Arial"/>
          <w:bCs/>
          <w:color w:val="000000" w:themeColor="text1"/>
        </w:rPr>
        <w:t xml:space="preserve">   </w:t>
      </w: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560"/>
        <w:gridCol w:w="3969"/>
      </w:tblGrid>
      <w:tr w:rsidR="00303AE7" w:rsidRPr="00D13C94" w:rsidTr="00E3202E">
        <w:trPr>
          <w:trHeight w:val="570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BA54EC" w:rsidRPr="00D13C94" w:rsidTr="00816F68">
        <w:trPr>
          <w:trHeight w:val="570"/>
        </w:trPr>
        <w:tc>
          <w:tcPr>
            <w:tcW w:w="1809" w:type="dxa"/>
            <w:vAlign w:val="center"/>
          </w:tcPr>
          <w:p w:rsidR="00BA54EC" w:rsidRPr="008E5003" w:rsidRDefault="00BA54EC" w:rsidP="009B677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NA 13498</w:t>
            </w:r>
          </w:p>
        </w:tc>
        <w:tc>
          <w:tcPr>
            <w:tcW w:w="1701" w:type="dxa"/>
            <w:vAlign w:val="center"/>
          </w:tcPr>
          <w:p w:rsidR="00BA54EC" w:rsidRPr="008E5003" w:rsidRDefault="00BA54EC" w:rsidP="009B677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ISO 4254-7:2017/</w:t>
            </w:r>
            <w:proofErr w:type="spellStart"/>
            <w:r w:rsidRPr="008E5003">
              <w:rPr>
                <w:rFonts w:asciiTheme="minorBidi" w:hAnsiTheme="minorBidi" w:cstheme="minorBidi"/>
                <w:sz w:val="22"/>
                <w:szCs w:val="22"/>
              </w:rPr>
              <w:t>Amd</w:t>
            </w:r>
            <w:proofErr w:type="spellEnd"/>
            <w:r w:rsidRPr="008E5003">
              <w:rPr>
                <w:rFonts w:asciiTheme="minorBidi" w:hAnsiTheme="minorBidi" w:cstheme="minorBidi"/>
                <w:sz w:val="22"/>
                <w:szCs w:val="22"/>
              </w:rPr>
              <w:t xml:space="preserve"> 1:2025</w:t>
            </w:r>
          </w:p>
        </w:tc>
        <w:tc>
          <w:tcPr>
            <w:tcW w:w="1134" w:type="dxa"/>
            <w:vAlign w:val="center"/>
          </w:tcPr>
          <w:p w:rsidR="00BA54EC" w:rsidRPr="008E5003" w:rsidRDefault="00BA54EC" w:rsidP="009B677C">
            <w:pPr>
              <w:jc w:val="center"/>
              <w:rPr>
                <w:rFonts w:asciiTheme="majorBidi" w:hAnsiTheme="majorBidi" w:cstheme="majorBidi"/>
              </w:rPr>
            </w:pPr>
            <w:r w:rsidRPr="008E5003">
              <w:rPr>
                <w:rFonts w:asciiTheme="majorBidi" w:eastAsiaTheme="minorHAnsi" w:hAnsiTheme="majorBidi" w:cstheme="majorBidi"/>
                <w:lang w:eastAsia="en-US"/>
              </w:rPr>
              <w:t>13.160  65.060.10</w:t>
            </w:r>
          </w:p>
        </w:tc>
        <w:tc>
          <w:tcPr>
            <w:tcW w:w="1560" w:type="dxa"/>
            <w:vAlign w:val="center"/>
          </w:tcPr>
          <w:p w:rsidR="00BA54EC" w:rsidRPr="00E33E77" w:rsidRDefault="00BA54EC" w:rsidP="00CD733E">
            <w:pPr>
              <w:jc w:val="center"/>
              <w:rPr>
                <w:rFonts w:asciiTheme="majorBidi" w:hAnsiTheme="majorBidi" w:cstheme="majorBidi"/>
              </w:rPr>
            </w:pPr>
            <w:r w:rsidRPr="00E33E77">
              <w:rPr>
                <w:rFonts w:asciiTheme="majorBidi" w:hAnsiTheme="majorBidi" w:cstheme="majorBidi"/>
              </w:rPr>
              <w:t>IDT</w:t>
            </w:r>
          </w:p>
        </w:tc>
        <w:tc>
          <w:tcPr>
            <w:tcW w:w="3969" w:type="dxa"/>
            <w:vAlign w:val="center"/>
          </w:tcPr>
          <w:p w:rsidR="00BA54EC" w:rsidRPr="008E5003" w:rsidRDefault="00BA54EC" w:rsidP="009B677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Matériel agricole — Sécurité — Partie 7: Moissonneuses-batteuses, récolteuses-hacheuses-chargeuses de fourrage, récolteuses de coton et récolteuses de cannes à sucre</w:t>
            </w:r>
          </w:p>
          <w:p w:rsidR="00BA54EC" w:rsidRPr="008E5003" w:rsidRDefault="00BA54EC" w:rsidP="009B677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Amendement 1</w:t>
            </w:r>
          </w:p>
        </w:tc>
      </w:tr>
      <w:tr w:rsidR="00BA54EC" w:rsidRPr="00D13C94" w:rsidTr="00816F68">
        <w:trPr>
          <w:trHeight w:val="570"/>
        </w:trPr>
        <w:tc>
          <w:tcPr>
            <w:tcW w:w="1809" w:type="dxa"/>
            <w:vAlign w:val="center"/>
          </w:tcPr>
          <w:p w:rsidR="00BA54EC" w:rsidRPr="008E5003" w:rsidRDefault="00BA54EC" w:rsidP="009B677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NA  ISO 4254-17</w:t>
            </w:r>
          </w:p>
        </w:tc>
        <w:tc>
          <w:tcPr>
            <w:tcW w:w="1701" w:type="dxa"/>
            <w:vAlign w:val="center"/>
          </w:tcPr>
          <w:p w:rsidR="00BA54EC" w:rsidRPr="008E5003" w:rsidRDefault="00BA54EC" w:rsidP="009B677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ISO 4254-17:2022</w:t>
            </w:r>
          </w:p>
        </w:tc>
        <w:tc>
          <w:tcPr>
            <w:tcW w:w="1134" w:type="dxa"/>
            <w:vAlign w:val="center"/>
          </w:tcPr>
          <w:p w:rsidR="00BA54EC" w:rsidRPr="008E5003" w:rsidRDefault="00BA54EC" w:rsidP="009B677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8E5003">
              <w:rPr>
                <w:rFonts w:asciiTheme="majorBidi" w:eastAsiaTheme="minorHAnsi" w:hAnsiTheme="majorBidi" w:cstheme="majorBidi"/>
                <w:lang w:eastAsia="en-US"/>
              </w:rPr>
              <w:t>65.060.50</w:t>
            </w:r>
          </w:p>
        </w:tc>
        <w:tc>
          <w:tcPr>
            <w:tcW w:w="1560" w:type="dxa"/>
            <w:vAlign w:val="center"/>
          </w:tcPr>
          <w:p w:rsidR="00BA54EC" w:rsidRPr="00E33E77" w:rsidRDefault="00BA54EC" w:rsidP="00AD5583">
            <w:pPr>
              <w:jc w:val="center"/>
            </w:pPr>
            <w:r w:rsidRPr="00E33E77">
              <w:rPr>
                <w:rFonts w:asciiTheme="majorBidi" w:hAnsiTheme="majorBidi" w:cstheme="majorBidi"/>
              </w:rPr>
              <w:t>IDT</w:t>
            </w:r>
          </w:p>
        </w:tc>
        <w:tc>
          <w:tcPr>
            <w:tcW w:w="3969" w:type="dxa"/>
            <w:vAlign w:val="center"/>
          </w:tcPr>
          <w:p w:rsidR="00BA54EC" w:rsidRPr="008E5003" w:rsidRDefault="00BA54EC" w:rsidP="009B677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Matériel agricole — Sécurité</w:t>
            </w:r>
          </w:p>
          <w:p w:rsidR="00BA54EC" w:rsidRPr="008E5003" w:rsidRDefault="00BA54EC" w:rsidP="009B677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Partie 17: Matériel de récolte de racines et tubercules</w:t>
            </w:r>
          </w:p>
        </w:tc>
      </w:tr>
      <w:tr w:rsidR="00BA54EC" w:rsidRPr="00D13C94" w:rsidTr="00816F68">
        <w:trPr>
          <w:trHeight w:val="570"/>
        </w:trPr>
        <w:tc>
          <w:tcPr>
            <w:tcW w:w="1809" w:type="dxa"/>
            <w:vAlign w:val="center"/>
          </w:tcPr>
          <w:p w:rsidR="00BA54EC" w:rsidRPr="008E5003" w:rsidRDefault="00BA54EC" w:rsidP="009B677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NA ISO 4254-20</w:t>
            </w:r>
          </w:p>
        </w:tc>
        <w:tc>
          <w:tcPr>
            <w:tcW w:w="1701" w:type="dxa"/>
            <w:vAlign w:val="center"/>
          </w:tcPr>
          <w:p w:rsidR="00BA54EC" w:rsidRPr="008E5003" w:rsidRDefault="00BA54EC" w:rsidP="009B677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ISO 4254-20:2025</w:t>
            </w:r>
          </w:p>
        </w:tc>
        <w:tc>
          <w:tcPr>
            <w:tcW w:w="1134" w:type="dxa"/>
            <w:vAlign w:val="center"/>
          </w:tcPr>
          <w:p w:rsidR="00BA54EC" w:rsidRPr="008E5003" w:rsidRDefault="00BA54EC" w:rsidP="009B677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8E5003">
              <w:rPr>
                <w:rFonts w:asciiTheme="majorBidi" w:eastAsiaTheme="minorHAnsi" w:hAnsiTheme="majorBidi" w:cstheme="majorBidi"/>
                <w:lang w:eastAsia="en-US"/>
              </w:rPr>
              <w:t>65.060.50</w:t>
            </w:r>
          </w:p>
        </w:tc>
        <w:tc>
          <w:tcPr>
            <w:tcW w:w="1560" w:type="dxa"/>
            <w:vAlign w:val="center"/>
          </w:tcPr>
          <w:p w:rsidR="00BA54EC" w:rsidRPr="00E33E77" w:rsidRDefault="00BA54EC" w:rsidP="00AD5583">
            <w:pPr>
              <w:jc w:val="center"/>
            </w:pPr>
            <w:r w:rsidRPr="00E33E77">
              <w:rPr>
                <w:rFonts w:asciiTheme="majorBidi" w:hAnsiTheme="majorBidi" w:cstheme="majorBidi"/>
              </w:rPr>
              <w:t>IDT</w:t>
            </w:r>
          </w:p>
        </w:tc>
        <w:tc>
          <w:tcPr>
            <w:tcW w:w="3969" w:type="dxa"/>
            <w:vAlign w:val="center"/>
          </w:tcPr>
          <w:p w:rsidR="00BA54EC" w:rsidRPr="008E5003" w:rsidRDefault="00BA54EC" w:rsidP="009B677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Matériel agricole — Sécurité</w:t>
            </w:r>
          </w:p>
          <w:p w:rsidR="00BA54EC" w:rsidRPr="008E5003" w:rsidRDefault="00BA54EC" w:rsidP="009B677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Partie 20: Machines à vendanger, de récolte des olives et du café</w:t>
            </w:r>
          </w:p>
        </w:tc>
      </w:tr>
      <w:tr w:rsidR="00BA54EC" w:rsidRPr="00D13C94" w:rsidTr="00A04F85">
        <w:trPr>
          <w:trHeight w:val="570"/>
        </w:trPr>
        <w:tc>
          <w:tcPr>
            <w:tcW w:w="1809" w:type="dxa"/>
            <w:vAlign w:val="center"/>
          </w:tcPr>
          <w:p w:rsidR="00BA54EC" w:rsidRPr="008E5003" w:rsidRDefault="00BA54EC" w:rsidP="009B677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NA ISO 5676</w:t>
            </w:r>
          </w:p>
        </w:tc>
        <w:tc>
          <w:tcPr>
            <w:tcW w:w="1701" w:type="dxa"/>
            <w:vAlign w:val="center"/>
          </w:tcPr>
          <w:p w:rsidR="00BA54EC" w:rsidRPr="008E5003" w:rsidRDefault="00BA54EC" w:rsidP="009B677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ISO 5676:2023</w:t>
            </w:r>
          </w:p>
        </w:tc>
        <w:tc>
          <w:tcPr>
            <w:tcW w:w="1134" w:type="dxa"/>
            <w:vAlign w:val="center"/>
          </w:tcPr>
          <w:p w:rsidR="00BA54EC" w:rsidRPr="008E5003" w:rsidRDefault="00BA54EC" w:rsidP="009B677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8E5003">
              <w:rPr>
                <w:rFonts w:asciiTheme="majorBidi" w:eastAsiaTheme="minorHAnsi" w:hAnsiTheme="majorBidi" w:cstheme="majorBidi"/>
                <w:lang w:eastAsia="en-US"/>
              </w:rPr>
              <w:t>65.060.01</w:t>
            </w:r>
          </w:p>
        </w:tc>
        <w:tc>
          <w:tcPr>
            <w:tcW w:w="1560" w:type="dxa"/>
          </w:tcPr>
          <w:p w:rsidR="00BA54EC" w:rsidRDefault="00BA54EC">
            <w:r w:rsidRPr="00BF6EFF">
              <w:t>IDT</w:t>
            </w:r>
          </w:p>
        </w:tc>
        <w:tc>
          <w:tcPr>
            <w:tcW w:w="3969" w:type="dxa"/>
            <w:vAlign w:val="center"/>
          </w:tcPr>
          <w:p w:rsidR="00BA54EC" w:rsidRPr="008E5003" w:rsidRDefault="00BA54EC" w:rsidP="009B677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Tracteurs et matériels agricoles et forestiers — Coupleurs hydrauliques — Circuit de freinage</w:t>
            </w:r>
          </w:p>
        </w:tc>
      </w:tr>
      <w:tr w:rsidR="00BA54EC" w:rsidRPr="00D13C94" w:rsidTr="00A04F85">
        <w:trPr>
          <w:trHeight w:val="570"/>
        </w:trPr>
        <w:tc>
          <w:tcPr>
            <w:tcW w:w="1809" w:type="dxa"/>
            <w:vAlign w:val="center"/>
          </w:tcPr>
          <w:p w:rsidR="00BA54EC" w:rsidRPr="008E5003" w:rsidRDefault="00BA54EC" w:rsidP="009B677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NA ISO 5707:2007</w:t>
            </w:r>
          </w:p>
        </w:tc>
        <w:tc>
          <w:tcPr>
            <w:tcW w:w="1701" w:type="dxa"/>
            <w:vAlign w:val="center"/>
          </w:tcPr>
          <w:p w:rsidR="00BA54EC" w:rsidRPr="008E5003" w:rsidRDefault="00BA54EC" w:rsidP="009B677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ISO 5707:2007</w:t>
            </w:r>
          </w:p>
        </w:tc>
        <w:tc>
          <w:tcPr>
            <w:tcW w:w="1134" w:type="dxa"/>
            <w:vAlign w:val="center"/>
          </w:tcPr>
          <w:p w:rsidR="00BA54EC" w:rsidRPr="008E5003" w:rsidRDefault="00BA54EC" w:rsidP="009B677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8E5003">
              <w:rPr>
                <w:rFonts w:asciiTheme="majorBidi" w:eastAsiaTheme="minorHAnsi" w:hAnsiTheme="majorBidi" w:cstheme="majorBidi"/>
                <w:lang w:eastAsia="en-US"/>
              </w:rPr>
              <w:t>65.040.10</w:t>
            </w:r>
          </w:p>
        </w:tc>
        <w:tc>
          <w:tcPr>
            <w:tcW w:w="1560" w:type="dxa"/>
          </w:tcPr>
          <w:p w:rsidR="00BA54EC" w:rsidRDefault="00BA54EC">
            <w:r w:rsidRPr="00BF6EFF">
              <w:t>IDT</w:t>
            </w:r>
          </w:p>
        </w:tc>
        <w:tc>
          <w:tcPr>
            <w:tcW w:w="3969" w:type="dxa"/>
            <w:vAlign w:val="center"/>
          </w:tcPr>
          <w:p w:rsidR="00BA54EC" w:rsidRPr="008E5003" w:rsidRDefault="00BA54EC" w:rsidP="009B677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8E5003">
              <w:rPr>
                <w:rFonts w:asciiTheme="minorBidi" w:hAnsiTheme="minorBidi" w:cstheme="minorBidi"/>
                <w:sz w:val="22"/>
                <w:szCs w:val="22"/>
              </w:rPr>
              <w:t>Installations de traite mécanique — Construction et performances</w:t>
            </w:r>
          </w:p>
        </w:tc>
      </w:tr>
    </w:tbl>
    <w:p w:rsidR="00303AE7" w:rsidRPr="00D13C94" w:rsidRDefault="00303AE7" w:rsidP="002C4955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A7" w:rsidRDefault="00734EA7" w:rsidP="00A95B30">
      <w:r>
        <w:separator/>
      </w:r>
    </w:p>
  </w:endnote>
  <w:endnote w:type="continuationSeparator" w:id="0">
    <w:p w:rsidR="00734EA7" w:rsidRDefault="00734EA7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A7" w:rsidRDefault="00734EA7" w:rsidP="00A95B30">
      <w:r>
        <w:separator/>
      </w:r>
    </w:p>
  </w:footnote>
  <w:footnote w:type="continuationSeparator" w:id="0">
    <w:p w:rsidR="00734EA7" w:rsidRDefault="00734EA7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01FD9"/>
    <w:rsid w:val="00010193"/>
    <w:rsid w:val="000560A8"/>
    <w:rsid w:val="000877BC"/>
    <w:rsid w:val="000A0070"/>
    <w:rsid w:val="000A23FE"/>
    <w:rsid w:val="000B4A52"/>
    <w:rsid w:val="000B4AC2"/>
    <w:rsid w:val="000C54D9"/>
    <w:rsid w:val="000D087B"/>
    <w:rsid w:val="000D3DC3"/>
    <w:rsid w:val="00101FD7"/>
    <w:rsid w:val="001215E4"/>
    <w:rsid w:val="0013335B"/>
    <w:rsid w:val="00145697"/>
    <w:rsid w:val="001A717F"/>
    <w:rsid w:val="001B2F7A"/>
    <w:rsid w:val="001B6249"/>
    <w:rsid w:val="001D0EA0"/>
    <w:rsid w:val="001D2044"/>
    <w:rsid w:val="001D65B2"/>
    <w:rsid w:val="001F7A7E"/>
    <w:rsid w:val="002009D7"/>
    <w:rsid w:val="002279B4"/>
    <w:rsid w:val="00272EEF"/>
    <w:rsid w:val="00284BBA"/>
    <w:rsid w:val="002B280F"/>
    <w:rsid w:val="002C4955"/>
    <w:rsid w:val="002C77BA"/>
    <w:rsid w:val="002E4F87"/>
    <w:rsid w:val="00303AE7"/>
    <w:rsid w:val="003301D2"/>
    <w:rsid w:val="00353C7C"/>
    <w:rsid w:val="00355508"/>
    <w:rsid w:val="00374462"/>
    <w:rsid w:val="003815D0"/>
    <w:rsid w:val="003B4AB5"/>
    <w:rsid w:val="00426A06"/>
    <w:rsid w:val="004608F2"/>
    <w:rsid w:val="004B0131"/>
    <w:rsid w:val="004D3460"/>
    <w:rsid w:val="004E041F"/>
    <w:rsid w:val="00506C12"/>
    <w:rsid w:val="0050757E"/>
    <w:rsid w:val="0059728C"/>
    <w:rsid w:val="005A035B"/>
    <w:rsid w:val="005A657D"/>
    <w:rsid w:val="005D1047"/>
    <w:rsid w:val="005F49A3"/>
    <w:rsid w:val="006A3E76"/>
    <w:rsid w:val="00734EA7"/>
    <w:rsid w:val="00757CC9"/>
    <w:rsid w:val="00762BFD"/>
    <w:rsid w:val="00793CCF"/>
    <w:rsid w:val="007B1F19"/>
    <w:rsid w:val="007C0EC7"/>
    <w:rsid w:val="007C307B"/>
    <w:rsid w:val="007D09A2"/>
    <w:rsid w:val="007D1A33"/>
    <w:rsid w:val="007D35A0"/>
    <w:rsid w:val="007D3930"/>
    <w:rsid w:val="00802344"/>
    <w:rsid w:val="0080316A"/>
    <w:rsid w:val="00813388"/>
    <w:rsid w:val="00816F68"/>
    <w:rsid w:val="00822058"/>
    <w:rsid w:val="00833CDC"/>
    <w:rsid w:val="00850EF8"/>
    <w:rsid w:val="00850F9A"/>
    <w:rsid w:val="00853E08"/>
    <w:rsid w:val="00864B93"/>
    <w:rsid w:val="008B0022"/>
    <w:rsid w:val="008B0103"/>
    <w:rsid w:val="008B675F"/>
    <w:rsid w:val="008C6636"/>
    <w:rsid w:val="008F2471"/>
    <w:rsid w:val="00903EF8"/>
    <w:rsid w:val="00907EFF"/>
    <w:rsid w:val="00916E32"/>
    <w:rsid w:val="00932185"/>
    <w:rsid w:val="009371FB"/>
    <w:rsid w:val="00947F38"/>
    <w:rsid w:val="00951C38"/>
    <w:rsid w:val="00963470"/>
    <w:rsid w:val="009669B0"/>
    <w:rsid w:val="00971EA7"/>
    <w:rsid w:val="009832EC"/>
    <w:rsid w:val="00991492"/>
    <w:rsid w:val="00996340"/>
    <w:rsid w:val="00997740"/>
    <w:rsid w:val="009C0563"/>
    <w:rsid w:val="00A102EB"/>
    <w:rsid w:val="00A15670"/>
    <w:rsid w:val="00A15FEE"/>
    <w:rsid w:val="00A5318B"/>
    <w:rsid w:val="00A67415"/>
    <w:rsid w:val="00A95B30"/>
    <w:rsid w:val="00A95B95"/>
    <w:rsid w:val="00AA0077"/>
    <w:rsid w:val="00AD5583"/>
    <w:rsid w:val="00AE5F91"/>
    <w:rsid w:val="00AF27DC"/>
    <w:rsid w:val="00B019CD"/>
    <w:rsid w:val="00B552A0"/>
    <w:rsid w:val="00B7185E"/>
    <w:rsid w:val="00B955A1"/>
    <w:rsid w:val="00B96324"/>
    <w:rsid w:val="00BA2B10"/>
    <w:rsid w:val="00BA54EC"/>
    <w:rsid w:val="00BC2AE8"/>
    <w:rsid w:val="00BF49E7"/>
    <w:rsid w:val="00BF6A69"/>
    <w:rsid w:val="00C01F7D"/>
    <w:rsid w:val="00C33FAC"/>
    <w:rsid w:val="00C92734"/>
    <w:rsid w:val="00C97F7D"/>
    <w:rsid w:val="00CA37AB"/>
    <w:rsid w:val="00CD52E2"/>
    <w:rsid w:val="00CE5F97"/>
    <w:rsid w:val="00D06149"/>
    <w:rsid w:val="00D112B9"/>
    <w:rsid w:val="00D13C94"/>
    <w:rsid w:val="00D3108D"/>
    <w:rsid w:val="00D44D98"/>
    <w:rsid w:val="00D76B48"/>
    <w:rsid w:val="00D8113D"/>
    <w:rsid w:val="00DE1991"/>
    <w:rsid w:val="00E3202E"/>
    <w:rsid w:val="00E33E77"/>
    <w:rsid w:val="00E52360"/>
    <w:rsid w:val="00E83BEB"/>
    <w:rsid w:val="00E92735"/>
    <w:rsid w:val="00EB421D"/>
    <w:rsid w:val="00EB6C11"/>
    <w:rsid w:val="00EC12C9"/>
    <w:rsid w:val="00EE13AE"/>
    <w:rsid w:val="00EF0413"/>
    <w:rsid w:val="00EF0EB2"/>
    <w:rsid w:val="00F14983"/>
    <w:rsid w:val="00F1725F"/>
    <w:rsid w:val="00F249CC"/>
    <w:rsid w:val="00F36E20"/>
    <w:rsid w:val="00F949EB"/>
    <w:rsid w:val="00FA121A"/>
    <w:rsid w:val="00FA78A6"/>
    <w:rsid w:val="00FB5680"/>
    <w:rsid w:val="00FC3568"/>
    <w:rsid w:val="00FC6554"/>
    <w:rsid w:val="00FE43D3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D6A0-E899-45DD-BA96-3C1F379E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2025-04-28T10:28:00Z</dcterms:created>
  <dcterms:modified xsi:type="dcterms:W3CDTF">2026-01-14T13:32:00Z</dcterms:modified>
</cp:coreProperties>
</file>